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2A" w:rsidRPr="003063D9" w:rsidRDefault="00B72D2A" w:rsidP="00B72D2A">
      <w:pPr>
        <w:pStyle w:val="normalwithoutspacing"/>
        <w:rPr>
          <w:rFonts w:asciiTheme="minorHAnsi" w:hAnsiTheme="minorHAnsi" w:cstheme="minorHAnsi"/>
          <w:szCs w:val="22"/>
        </w:rPr>
      </w:pPr>
      <w:bookmarkStart w:id="0" w:name="_GoBack"/>
    </w:p>
    <w:p w:rsidR="00B72D2A" w:rsidRPr="003063D9" w:rsidRDefault="00B72D2A" w:rsidP="00B72D2A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 w:val="22"/>
          <w:lang w:val="el-GR"/>
        </w:rPr>
      </w:pPr>
      <w:bookmarkStart w:id="1" w:name="_Toc219263335"/>
      <w:bookmarkStart w:id="2" w:name="_Toc394394386"/>
      <w:bookmarkStart w:id="3" w:name="_Toc397597783"/>
      <w:bookmarkStart w:id="4" w:name="_Toc410211873"/>
      <w:bookmarkStart w:id="5" w:name="_Toc489004150"/>
      <w:r w:rsidRPr="003063D9">
        <w:rPr>
          <w:rFonts w:asciiTheme="minorHAnsi" w:hAnsiTheme="minorHAnsi" w:cstheme="minorHAnsi"/>
          <w:sz w:val="22"/>
          <w:lang w:val="el-GR"/>
        </w:rPr>
        <w:t xml:space="preserve">ΠΑΡΑΡΤΗΜΑ Δ’ </w:t>
      </w:r>
      <w:r w:rsidR="00133E6C" w:rsidRPr="003063D9">
        <w:rPr>
          <w:rFonts w:asciiTheme="minorHAnsi" w:hAnsiTheme="minorHAnsi" w:cstheme="minorHAnsi"/>
          <w:sz w:val="22"/>
          <w:lang w:val="el-GR"/>
        </w:rPr>
        <w:t xml:space="preserve">«ΕΝΤΥΠΟ ΟΙΚΟΝΟΜΙΚΗΣ ΠΡΟΣΦΟΡΑΣ» ΤΗΣ ΥΠ΄ΑΡΙΘΜ 5631/22.8.2017 ΔΙΑΚΗΡΥΞΗΣ ΓΙΑ ΤΗ ΦΥΛΑΞΗ ΤΩΝ ΧΩΡΩΝ ΤΟΥ ΠΟΛΥΤΕΧΝΕΙΟΥ ΚΡΗΤΗΣ </w:t>
      </w:r>
      <w:bookmarkEnd w:id="1"/>
      <w:bookmarkEnd w:id="2"/>
      <w:bookmarkEnd w:id="3"/>
      <w:bookmarkEnd w:id="4"/>
      <w:bookmarkEnd w:id="5"/>
      <w:r w:rsidR="00133E6C" w:rsidRPr="003063D9">
        <w:rPr>
          <w:rFonts w:asciiTheme="minorHAnsi" w:hAnsiTheme="minorHAnsi" w:cstheme="minorHAnsi"/>
          <w:sz w:val="22"/>
          <w:lang w:val="el-GR"/>
        </w:rPr>
        <w:t>ΓΙΑ ΕΝΑ (1) ΕΤΟΣ ΑΠΟ ΤΗΝ ΥΠΟΓΡΑΦΗ ΤΗΣ ΣΥΜΒΑΣΗΣ</w:t>
      </w:r>
    </w:p>
    <w:p w:rsidR="00B72D2A" w:rsidRPr="003063D9" w:rsidRDefault="00B72D2A" w:rsidP="00B72D2A">
      <w:pPr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szCs w:val="22"/>
          <w:lang w:val="el-GR"/>
        </w:rPr>
        <w:t>ΣΤΟΙΧΕΙΑ ΠΡΟΣΦΕΡΟΝΤΟΣ (Επωνυμία επιχείρησης, Διεύθυνση, ΑΦΜ)</w:t>
      </w:r>
    </w:p>
    <w:p w:rsidR="00B72D2A" w:rsidRPr="003063D9" w:rsidRDefault="00B72D2A" w:rsidP="00B72D2A">
      <w:pPr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szCs w:val="22"/>
          <w:lang w:val="el-GR"/>
        </w:rPr>
        <w:t>Προς: Πολυτεχνείο Κρήτης</w:t>
      </w:r>
    </w:p>
    <w:p w:rsidR="00B72D2A" w:rsidRPr="003063D9" w:rsidRDefault="00B72D2A" w:rsidP="00B72D2A">
      <w:pPr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szCs w:val="22"/>
          <w:lang w:val="el-GR"/>
        </w:rPr>
        <w:t xml:space="preserve">Οικονομική προσφορά στα πλαίσια του ανοικτού διαγωνισμού για τη φύλαξη των χώρων του Πολυτεχνείου Κρήτης για ένα (1) έτος από την υπογραφή της σύμβασης, σύμφωνα με την </w:t>
      </w:r>
      <w:proofErr w:type="spellStart"/>
      <w:r w:rsidRPr="003063D9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3063D9">
        <w:rPr>
          <w:rFonts w:asciiTheme="minorHAnsi" w:hAnsiTheme="minorHAnsi" w:cstheme="minorHAnsi"/>
          <w:szCs w:val="22"/>
          <w:lang w:val="el-GR"/>
        </w:rPr>
        <w:t xml:space="preserve"> 5631/22.8.2017 διακήρυξη</w:t>
      </w:r>
    </w:p>
    <w:p w:rsidR="00B72D2A" w:rsidRPr="003063D9" w:rsidRDefault="00B72D2A" w:rsidP="00B72D2A">
      <w:pPr>
        <w:rPr>
          <w:rFonts w:asciiTheme="minorHAnsi" w:hAnsiTheme="minorHAnsi" w:cstheme="minorHAnsi"/>
          <w:b/>
          <w:szCs w:val="22"/>
          <w:lang w:val="el-GR"/>
        </w:rPr>
      </w:pPr>
      <w:r w:rsidRPr="003063D9">
        <w:rPr>
          <w:rFonts w:asciiTheme="minorHAnsi" w:hAnsiTheme="minorHAnsi" w:cstheme="minorHAnsi"/>
          <w:b/>
          <w:szCs w:val="22"/>
          <w:lang w:val="el-GR"/>
        </w:rPr>
        <w:t>ΚΕΦΑΛΑΙΟ Α’ ΟΙΚΟΝΟΜΙΚΗΣ ΠΡΟΣΦΟΡΑΣ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726"/>
        <w:gridCol w:w="2246"/>
        <w:gridCol w:w="3075"/>
      </w:tblGrid>
      <w:tr w:rsidR="00B72D2A" w:rsidRPr="003063D9" w:rsidTr="00795873">
        <w:trPr>
          <w:trHeight w:val="525"/>
        </w:trPr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α/α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Απαιτούμενα στοιχεία 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>(Α)</w:t>
            </w:r>
          </w:p>
          <w:p w:rsidR="00B72D2A" w:rsidRPr="003063D9" w:rsidRDefault="00B72D2A" w:rsidP="00795873">
            <w:pPr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>Στοιχεία προσφοράς χωρίς την προαίρεση του Ελληνικού Ανοικτού Πανεπιστημίου (ΕΑΠ), συνολικού προϋπολογισμού 126.000,00  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(Β) </w:t>
            </w:r>
          </w:p>
          <w:p w:rsidR="00B72D2A" w:rsidRPr="003063D9" w:rsidRDefault="00B72D2A" w:rsidP="00795873">
            <w:pPr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Στοιχεία προσφοράς </w:t>
            </w:r>
            <w:r w:rsidRPr="003063D9">
              <w:rPr>
                <w:rFonts w:asciiTheme="minorHAnsi" w:hAnsiTheme="minorHAnsi" w:cstheme="minorHAnsi"/>
                <w:b/>
                <w:szCs w:val="22"/>
                <w:u w:val="single"/>
                <w:lang w:val="el-GR"/>
              </w:rPr>
              <w:t xml:space="preserve">μόνο 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>για την προαίρεση του Ελληνικού Ανοικτού Πανεπιστημίου (ΕΑΠ) συνολικού προϋπολογισμού 4.000,00 €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1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Ύψος προϋπολογισμένου ποσού που αφορά τις πάσης φύσεως νόμιμες αποδοχές για το σύνολο των εργαζομένων την περίοδο παροχής υπηρεσίας (12 μήνες)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2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 xml:space="preserve">Ύψος ασφαλιστικών εισφορών με βάση τα προϋπολογισθέντα ποσά των πάσης φύσεως </w:t>
            </w:r>
            <w:proofErr w:type="spellStart"/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νομίμων</w:t>
            </w:r>
            <w:proofErr w:type="spellEnd"/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 xml:space="preserve"> αποδοχών (εργοδοτική εισφορά) για το σύνολο των εργαζομένων την περίοδο παροχής υπηρεσίας (12 μήνες) (Να αναφερθεί το ποσοστό των κρατήσεων)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3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Διοικητικό κόστος παροχής των υπηρεσιών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4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Κόστος</w:t>
            </w:r>
            <w:r w:rsidRPr="003063D9">
              <w:rPr>
                <w:rFonts w:asciiTheme="minorHAnsi" w:hAnsiTheme="minorHAnsi" w:cstheme="minorHAnsi"/>
                <w:szCs w:val="22"/>
              </w:rPr>
              <w:t xml:space="preserve"> αναλωσίμων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5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Ε</w:t>
            </w:r>
            <w:r w:rsidRPr="003063D9">
              <w:rPr>
                <w:rFonts w:asciiTheme="minorHAnsi" w:hAnsiTheme="minorHAnsi" w:cstheme="minorHAnsi"/>
                <w:szCs w:val="22"/>
              </w:rPr>
              <w:t>ργολαβικ</w:t>
            </w: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ό</w:t>
            </w:r>
            <w:r w:rsidRPr="003063D9">
              <w:rPr>
                <w:rFonts w:asciiTheme="minorHAnsi" w:hAnsiTheme="minorHAnsi" w:cstheme="minorHAnsi"/>
                <w:szCs w:val="22"/>
              </w:rPr>
              <w:t xml:space="preserve"> κέρδος</w:t>
            </w: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 xml:space="preserve"> (%)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6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 xml:space="preserve">Νόμιμες κρατήσεις υπέρ Δημοσίου και τρίτων 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7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>ΣΥΝΟΛ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n-US"/>
              </w:rPr>
              <w:t>IKO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ΕΤΗΣΙΟ ΚΟΣΤΟΣ ΑΝΕΥ ΦΠΑ 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8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</w:rPr>
              <w:t xml:space="preserve">ΦΠΑ </w:t>
            </w: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(%)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582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9</w:t>
            </w:r>
          </w:p>
        </w:tc>
        <w:tc>
          <w:tcPr>
            <w:tcW w:w="3786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ΣΥΝΟΛΙΚΟ ΕΤΗΣΙΟ ΚΟΣΤΟΣ ΜΕ ΦΠΑ </w:t>
            </w:r>
          </w:p>
        </w:tc>
        <w:tc>
          <w:tcPr>
            <w:tcW w:w="2261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3118" w:type="dxa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</w:tbl>
    <w:p w:rsidR="00B72D2A" w:rsidRPr="003063D9" w:rsidRDefault="00B72D2A" w:rsidP="00B72D2A">
      <w:pPr>
        <w:rPr>
          <w:rFonts w:asciiTheme="minorHAnsi" w:hAnsiTheme="minorHAnsi" w:cstheme="minorHAnsi"/>
          <w:b/>
          <w:szCs w:val="22"/>
          <w:lang w:val="el-GR"/>
        </w:rPr>
      </w:pPr>
    </w:p>
    <w:p w:rsidR="00B72D2A" w:rsidRPr="003063D9" w:rsidRDefault="00B72D2A" w:rsidP="00B72D2A">
      <w:pPr>
        <w:rPr>
          <w:rFonts w:asciiTheme="minorHAnsi" w:hAnsiTheme="minorHAnsi" w:cstheme="minorHAnsi"/>
          <w:b/>
          <w:szCs w:val="22"/>
          <w:lang w:val="el-GR"/>
        </w:rPr>
      </w:pPr>
      <w:r w:rsidRPr="003063D9">
        <w:rPr>
          <w:rFonts w:asciiTheme="minorHAnsi" w:hAnsiTheme="minorHAnsi" w:cstheme="minorHAnsi"/>
          <w:b/>
          <w:szCs w:val="22"/>
          <w:lang w:val="el-GR"/>
        </w:rPr>
        <w:t>ΣΥΝΟΛΙΚΗ ΠΡΟΣΦΟΡΑ: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089"/>
      </w:tblGrid>
      <w:tr w:rsidR="00B72D2A" w:rsidRPr="003063D9" w:rsidTr="00795873">
        <w:tc>
          <w:tcPr>
            <w:tcW w:w="6658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>ΣΥΝΟΛ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n-US"/>
              </w:rPr>
              <w:t>IKO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ΕΤΗΣΙΟ ΚΟΣΤΟΣ ΠΡΟΣΦΟΡΑΣ (Α) +  ΣΥΝΟΛ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n-US"/>
              </w:rPr>
              <w:t>IKO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ΕΤΗΣΙΟ ΚΟΣΤΟΣ ΠΡΟΣΦΟΡΑΣ (Β) ΑΝΕΥ ΦΠΑ  </w:t>
            </w:r>
          </w:p>
        </w:tc>
        <w:tc>
          <w:tcPr>
            <w:tcW w:w="3089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6658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ΦΠΑ 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(%) (Α) +  </w:t>
            </w:r>
            <w:r w:rsidRPr="003063D9">
              <w:rPr>
                <w:rFonts w:asciiTheme="minorHAnsi" w:hAnsiTheme="minorHAnsi" w:cstheme="minorHAnsi"/>
                <w:b/>
                <w:szCs w:val="22"/>
              </w:rPr>
              <w:t xml:space="preserve">ΦΠΑ 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>(%) (Β)</w:t>
            </w:r>
          </w:p>
        </w:tc>
        <w:tc>
          <w:tcPr>
            <w:tcW w:w="3089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  <w:tr w:rsidR="00B72D2A" w:rsidRPr="003063D9" w:rsidTr="00795873">
        <w:tc>
          <w:tcPr>
            <w:tcW w:w="6658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>ΣΥΝΟΛΙΚΟ ΕΤΗΣΙΟ ΚΟΣΤΟΣ ΠΡΟΣΦΟΡΑΣ (Α)  +  ΣΥΝΟΛ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n-US"/>
              </w:rPr>
              <w:t>IKO</w:t>
            </w:r>
            <w:r w:rsidRPr="003063D9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ΕΤΗΣΙΟ ΚΟΣΤΟΣ ΠΡΟΣΦΟΡΑΣ (Β) ΜΕ ΦΠΑ</w:t>
            </w:r>
          </w:p>
        </w:tc>
        <w:tc>
          <w:tcPr>
            <w:tcW w:w="3089" w:type="dxa"/>
            <w:shd w:val="clear" w:color="auto" w:fill="auto"/>
          </w:tcPr>
          <w:p w:rsidR="00B72D2A" w:rsidRPr="003063D9" w:rsidRDefault="00B72D2A" w:rsidP="0079587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3063D9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</w:tr>
    </w:tbl>
    <w:p w:rsidR="00B72D2A" w:rsidRPr="003063D9" w:rsidRDefault="00B72D2A" w:rsidP="00B72D2A">
      <w:pPr>
        <w:rPr>
          <w:rFonts w:asciiTheme="minorHAnsi" w:eastAsia="Arial Unicode MS" w:hAnsiTheme="minorHAnsi" w:cstheme="minorHAnsi"/>
          <w:szCs w:val="22"/>
          <w:lang w:val="el-GR"/>
        </w:rPr>
      </w:pPr>
    </w:p>
    <w:p w:rsidR="00B72D2A" w:rsidRPr="003063D9" w:rsidRDefault="00B72D2A" w:rsidP="00B72D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063D9">
        <w:rPr>
          <w:rFonts w:asciiTheme="minorHAnsi" w:hAnsiTheme="minorHAnsi" w:cstheme="minorHAnsi"/>
          <w:sz w:val="22"/>
          <w:szCs w:val="22"/>
        </w:rPr>
        <w:t>Ο Χρόνος Ισχύος της Προσφοράς είναι (αριθμητικώς και ολογράφως) :  …………………………… ημέρες.</w:t>
      </w:r>
    </w:p>
    <w:p w:rsidR="00B72D2A" w:rsidRPr="003063D9" w:rsidRDefault="00B72D2A" w:rsidP="00B72D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72D2A" w:rsidRPr="003063D9" w:rsidRDefault="00B72D2A" w:rsidP="00B72D2A">
      <w:pPr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szCs w:val="22"/>
          <w:lang w:val="el-GR"/>
        </w:rPr>
        <w:t xml:space="preserve">Σας υποβάλλουμε επιπλέον ως ξεχωριστό κεφάλαιο της προσφοράς μας, το ΚΕΦΑΛΑΙΟ Β’ ΟΙΚΟΝΟΜΙΚΗΣ ΠΡΟΣΦΟΡΑΣ </w:t>
      </w:r>
      <w:r w:rsidRPr="003063D9">
        <w:rPr>
          <w:rFonts w:asciiTheme="minorHAnsi" w:hAnsiTheme="minorHAnsi" w:cstheme="minorHAnsi"/>
          <w:szCs w:val="22"/>
          <w:u w:val="single"/>
          <w:lang w:val="el-GR"/>
        </w:rPr>
        <w:t xml:space="preserve">για το σύνολο της παρούσας σύμβασης (συμπεριλαμβανομένου του δικαιώματος προαίρεσης του ΕΑΠ), </w:t>
      </w:r>
      <w:r w:rsidRPr="003063D9">
        <w:rPr>
          <w:rFonts w:asciiTheme="minorHAnsi" w:hAnsiTheme="minorHAnsi" w:cstheme="minorHAnsi"/>
          <w:szCs w:val="22"/>
          <w:lang w:val="el-GR"/>
        </w:rPr>
        <w:t xml:space="preserve">σύμφωνα με τα ειδικώς οριζόμενα στην παρ. 2.4.4. της </w:t>
      </w:r>
      <w:proofErr w:type="spellStart"/>
      <w:r w:rsidRPr="003063D9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3063D9">
        <w:rPr>
          <w:rFonts w:asciiTheme="minorHAnsi" w:hAnsiTheme="minorHAnsi" w:cstheme="minorHAnsi"/>
          <w:szCs w:val="22"/>
          <w:lang w:val="el-GR"/>
        </w:rPr>
        <w:t xml:space="preserve"> 5631/22.8.2017 διακήρυξης.</w:t>
      </w:r>
    </w:p>
    <w:p w:rsidR="00B72D2A" w:rsidRPr="003063D9" w:rsidRDefault="00B72D2A" w:rsidP="00B72D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72D2A" w:rsidRPr="003063D9" w:rsidRDefault="00B72D2A" w:rsidP="00B72D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063D9">
        <w:rPr>
          <w:rFonts w:asciiTheme="minorHAnsi" w:hAnsiTheme="minorHAnsi" w:cstheme="minorHAnsi"/>
          <w:b/>
          <w:bCs/>
          <w:sz w:val="22"/>
          <w:szCs w:val="22"/>
        </w:rPr>
        <w:t xml:space="preserve">Ο Προσφέρων  </w:t>
      </w:r>
    </w:p>
    <w:p w:rsidR="00B72D2A" w:rsidRPr="003063D9" w:rsidRDefault="00B72D2A" w:rsidP="00B72D2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72D2A" w:rsidRPr="003063D9" w:rsidRDefault="00B72D2A" w:rsidP="00B72D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(Υπογραφή –Σφραγίδα)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Cs w:val="22"/>
          <w:highlight w:val="yellow"/>
          <w:lang w:val="el-GR" w:eastAsia="el-GR"/>
        </w:rPr>
      </w:pP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Cs w:val="22"/>
          <w:highlight w:val="yellow"/>
          <w:lang w:val="el-GR" w:eastAsia="el-GR"/>
        </w:rPr>
      </w:pP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>ΟΔΗΓΙΕΣ (Ειδικές απαιτήσεις οικονομικής προσφοράς)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 xml:space="preserve">1. </w:t>
      </w: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Ο παραπάνω πίνακας συμπληρώνεται (χωρίς να τροποποιηθεί η μορφή του) από τους οικονομικούς φορείς, σύμφωνα με την κείμενη εργατική, ασφαλιστική και σχετική Νομοθεσία επί ποινή απαραδέκτου της προσφοράς προσκομίζοντας στον Φάκελο της Προσφοράς τους φωτοαντίγραφα της προαναφερόμενης Νομοθεσίας. Η τιμή για καθένα από τα πεδία του παραπάνω πίνακα θα είναι μια και μοναδική και θα αναλύεται επαρκώς και με σαφήνεια ο τρόπος-μέθοδος υπολογισμού-προσδιορισμού αυτής της τιμής. Η αναγραφή της τιμής σε Ευρώ (€) μπορεί να γίνεται μέχρι δύο δεκαδικά ψηφία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 xml:space="preserve">3. </w:t>
      </w: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Προσφορά που δίνει τιμή σε συνάλλαγμα ή σε ρήτρα συναλλάγματος απορρίπτεται ως απαράδεκτη.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 xml:space="preserve">4. </w:t>
      </w: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Προσφορά που θέτει όρο αναπροσαρμογής τιμής απορρίπτεται ως απαράδεκτη, ενώ θα πρέπει να υπάρχει ρητή δήλωση αποδοχής όλων των όρων της διακήρυξης καθώς και της ισχύουσας Νομοθεσίας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 xml:space="preserve">5. </w:t>
      </w: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Εφόσον από την προσφορά δεν προκύπτει με σαφήνεια η προσφερόμενη τιμή ή δεν δίδεται ενιαία τιμή η προσφορά απορρίπτεται σαν απαράδεκτη.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 xml:space="preserve">6. </w:t>
      </w: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σύμβαση.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22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 xml:space="preserve">7. </w:t>
      </w: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 xml:space="preserve">Η Αρχή διατηρεί το δικαίωμα να ζητήσει από τους προσφέροντες στοιχεία απαραίτητα για την τεκμηρίωση των </w:t>
      </w:r>
      <w:proofErr w:type="spellStart"/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προσφερομένων</w:t>
      </w:r>
      <w:proofErr w:type="spellEnd"/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 xml:space="preserve"> τιμών, οι δε προσφέροντες υποχρεούνται να παρέχουν αυτά εντός προθεσμίας επτά (7) ημερών από την ημέρα κοινοποίησης σε αυτούς της σχετικής πρόσκλησης. Η ευθύνη όμως για την ακρίβεια των αναφερομένων βαρύνει αποκλειστικά τον προσφέροντα.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 xml:space="preserve">8. </w:t>
      </w: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Οποιαδήποτε μεταβολή στην ισχύουσα νομοθεσία που διέπει την παρούσα διακήρυξη/σύμβαση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Αρχή.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bCs/>
          <w:color w:val="000000"/>
          <w:szCs w:val="22"/>
          <w:lang w:val="el-GR" w:eastAsia="el-GR"/>
        </w:rPr>
        <w:t xml:space="preserve">9. </w:t>
      </w:r>
      <w:r w:rsidRPr="003063D9">
        <w:rPr>
          <w:rFonts w:asciiTheme="minorHAnsi" w:hAnsiTheme="minorHAnsi" w:cstheme="minorHAnsi"/>
          <w:color w:val="000000"/>
          <w:szCs w:val="22"/>
          <w:lang w:val="el-GR" w:eastAsia="el-GR"/>
        </w:rPr>
        <w:t>Θα πρέπει να αναγράφεται ο Χρόνος Ισχύος της Προσφοράς με έναρξη από την επομένη της ημερομηνίας διενέργειας του διαγωνισμού. Προσφορά που ορίζει μικρότερο χρόνο ισχύος από τον ζητούμενο θα απορρίπτεται ως απαράδεκτη.</w:t>
      </w:r>
    </w:p>
    <w:p w:rsidR="00B72D2A" w:rsidRPr="003063D9" w:rsidRDefault="00B72D2A" w:rsidP="00B72D2A">
      <w:pPr>
        <w:suppressAutoHyphens w:val="0"/>
        <w:spacing w:after="0"/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b/>
          <w:szCs w:val="22"/>
          <w:lang w:val="el-GR"/>
        </w:rPr>
        <w:t>10.</w:t>
      </w:r>
      <w:r w:rsidRPr="003063D9">
        <w:rPr>
          <w:rFonts w:asciiTheme="minorHAnsi" w:hAnsiTheme="minorHAnsi" w:cstheme="minorHAnsi"/>
          <w:szCs w:val="22"/>
          <w:lang w:val="el-GR"/>
        </w:rPr>
        <w:t xml:space="preserve"> Σύμφωνα με το άρθρ. 68 του Ν. 3863/2010, όπως αυτό τροποποιήθηκε με τον Ν. 4144/2013 (ΦΕΚ 88/18.1.2013 </w:t>
      </w:r>
      <w:proofErr w:type="spellStart"/>
      <w:r w:rsidRPr="003063D9">
        <w:rPr>
          <w:rFonts w:asciiTheme="minorHAnsi" w:hAnsiTheme="minorHAnsi" w:cstheme="minorHAnsi"/>
          <w:szCs w:val="22"/>
          <w:lang w:val="el-GR"/>
        </w:rPr>
        <w:t>τ.Α</w:t>
      </w:r>
      <w:proofErr w:type="spellEnd"/>
      <w:r w:rsidRPr="003063D9">
        <w:rPr>
          <w:rFonts w:asciiTheme="minorHAnsi" w:hAnsiTheme="minorHAnsi" w:cstheme="minorHAnsi"/>
          <w:szCs w:val="22"/>
          <w:lang w:val="el-GR"/>
        </w:rPr>
        <w:t xml:space="preserve">’) «οι εταιρείες παροχής υπηρεσιών φύλαξης, </w:t>
      </w:r>
      <w:r w:rsidRPr="003063D9">
        <w:rPr>
          <w:rFonts w:asciiTheme="minorHAnsi" w:hAnsiTheme="minorHAnsi" w:cstheme="minorHAnsi"/>
          <w:b/>
          <w:szCs w:val="22"/>
          <w:lang w:val="el-GR"/>
        </w:rPr>
        <w:t>επί ποινή αποκλεισμού</w:t>
      </w:r>
      <w:r w:rsidRPr="003063D9">
        <w:rPr>
          <w:rFonts w:asciiTheme="minorHAnsi" w:hAnsiTheme="minorHAnsi" w:cstheme="minorHAnsi"/>
          <w:szCs w:val="22"/>
          <w:lang w:val="el-GR"/>
        </w:rPr>
        <w:t xml:space="preserve">, πρέπει να εξειδικεύουν </w:t>
      </w:r>
      <w:r w:rsidRPr="003063D9">
        <w:rPr>
          <w:rFonts w:asciiTheme="minorHAnsi" w:hAnsiTheme="minorHAnsi" w:cstheme="minorHAnsi"/>
          <w:b/>
          <w:szCs w:val="22"/>
          <w:lang w:val="el-GR"/>
        </w:rPr>
        <w:t xml:space="preserve">σε χωριστό κεφάλαιο </w:t>
      </w:r>
      <w:r w:rsidRPr="003063D9">
        <w:rPr>
          <w:rFonts w:asciiTheme="minorHAnsi" w:hAnsiTheme="minorHAnsi" w:cstheme="minorHAnsi"/>
          <w:szCs w:val="22"/>
          <w:lang w:val="el-GR"/>
        </w:rPr>
        <w:t>της οικονομικής τους προσφοράς τα κάτωθι στοιχεία:</w:t>
      </w:r>
    </w:p>
    <w:p w:rsidR="00B72D2A" w:rsidRPr="003063D9" w:rsidRDefault="00B72D2A" w:rsidP="00B72D2A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b/>
          <w:szCs w:val="22"/>
          <w:lang w:val="el-GR"/>
        </w:rPr>
        <w:t>α)</w:t>
      </w:r>
      <w:r w:rsidRPr="003063D9">
        <w:rPr>
          <w:rFonts w:asciiTheme="minorHAnsi" w:hAnsiTheme="minorHAnsi" w:cstheme="minorHAnsi"/>
          <w:szCs w:val="22"/>
          <w:lang w:val="el-GR"/>
        </w:rPr>
        <w:t xml:space="preserve"> Τον αριθμό των εργαζομένων.</w:t>
      </w:r>
    </w:p>
    <w:p w:rsidR="00B72D2A" w:rsidRPr="003063D9" w:rsidRDefault="00B72D2A" w:rsidP="00B72D2A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b/>
          <w:szCs w:val="22"/>
          <w:lang w:val="el-GR"/>
        </w:rPr>
        <w:t>β)</w:t>
      </w:r>
      <w:r w:rsidRPr="003063D9">
        <w:rPr>
          <w:rFonts w:asciiTheme="minorHAnsi" w:hAnsiTheme="minorHAnsi" w:cstheme="minorHAnsi"/>
          <w:szCs w:val="22"/>
          <w:lang w:val="el-GR"/>
        </w:rPr>
        <w:t xml:space="preserve"> Τις ημέρες και τις ώρες εργασίας.</w:t>
      </w:r>
    </w:p>
    <w:p w:rsidR="00B72D2A" w:rsidRPr="003063D9" w:rsidRDefault="00B72D2A" w:rsidP="00B72D2A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b/>
          <w:szCs w:val="22"/>
          <w:lang w:val="el-GR"/>
        </w:rPr>
        <w:t>γ)</w:t>
      </w:r>
      <w:r w:rsidRPr="003063D9">
        <w:rPr>
          <w:rFonts w:asciiTheme="minorHAnsi" w:hAnsiTheme="minorHAnsi" w:cstheme="minorHAnsi"/>
          <w:szCs w:val="22"/>
          <w:lang w:val="el-GR"/>
        </w:rPr>
        <w:t xml:space="preserve"> Τη συλλογική σύμβαση εργασίας στην οποία υπάγονται οι εργαζόμενοι.</w:t>
      </w:r>
    </w:p>
    <w:p w:rsidR="00B72D2A" w:rsidRPr="003063D9" w:rsidRDefault="00B72D2A" w:rsidP="00B72D2A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3063D9">
        <w:rPr>
          <w:rFonts w:asciiTheme="minorHAnsi" w:hAnsiTheme="minorHAnsi" w:cstheme="minorHAnsi"/>
          <w:b/>
          <w:szCs w:val="22"/>
          <w:lang w:val="el-GR"/>
        </w:rPr>
        <w:t>δ)</w:t>
      </w:r>
      <w:r w:rsidRPr="003063D9">
        <w:rPr>
          <w:rFonts w:asciiTheme="minorHAnsi" w:hAnsiTheme="minorHAnsi" w:cstheme="minorHAnsi"/>
          <w:szCs w:val="22"/>
          <w:lang w:val="el-GR"/>
        </w:rPr>
        <w:t xml:space="preserve"> Το ύψος του προϋπολογισμένου ποσού που αφορά τις πάσης φύσεως νόμιμες αποδοχές αυτών των εργαζομένων.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2"/>
          <w:lang w:val="el-GR" w:eastAsia="el-GR"/>
        </w:rPr>
      </w:pPr>
      <w:r w:rsidRPr="003063D9">
        <w:rPr>
          <w:rFonts w:asciiTheme="minorHAnsi" w:hAnsiTheme="minorHAnsi" w:cstheme="minorHAnsi"/>
          <w:b/>
          <w:szCs w:val="22"/>
          <w:lang w:val="el-GR"/>
        </w:rPr>
        <w:t>ε)</w:t>
      </w:r>
      <w:r w:rsidRPr="003063D9">
        <w:rPr>
          <w:rFonts w:asciiTheme="minorHAnsi" w:hAnsiTheme="minorHAnsi" w:cstheme="minorHAnsi"/>
          <w:szCs w:val="22"/>
          <w:lang w:val="el-GR"/>
        </w:rPr>
        <w:t xml:space="preserve"> Το ύψος των ασφαλιστικών εισφορών με βάση τα προϋπολογισθέντα ποσά</w:t>
      </w:r>
    </w:p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2"/>
          <w:lang w:val="el-GR" w:eastAsia="el-GR"/>
        </w:rPr>
      </w:pPr>
    </w:p>
    <w:bookmarkEnd w:id="0"/>
    <w:p w:rsidR="00B72D2A" w:rsidRPr="003063D9" w:rsidRDefault="00B72D2A" w:rsidP="00B72D2A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2"/>
          <w:lang w:val="el-GR" w:eastAsia="el-GR"/>
        </w:rPr>
      </w:pPr>
    </w:p>
    <w:sectPr w:rsidR="00B72D2A" w:rsidRPr="003063D9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2A" w:rsidRDefault="00B72D2A" w:rsidP="00B72D2A">
      <w:pPr>
        <w:spacing w:after="0"/>
      </w:pPr>
      <w:r>
        <w:separator/>
      </w:r>
    </w:p>
  </w:endnote>
  <w:endnote w:type="continuationSeparator" w:id="0">
    <w:p w:rsidR="00B72D2A" w:rsidRDefault="00B72D2A" w:rsidP="00B72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D4" w:rsidRDefault="003063D9">
    <w:pPr>
      <w:pStyle w:val="a7"/>
      <w:spacing w:after="0"/>
      <w:jc w:val="center"/>
      <w:rPr>
        <w:sz w:val="12"/>
        <w:szCs w:val="12"/>
        <w:lang w:val="el-GR"/>
      </w:rPr>
    </w:pPr>
  </w:p>
  <w:p w:rsidR="00C87CD4" w:rsidRDefault="006A56A0">
    <w:pPr>
      <w:pStyle w:val="a7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063D9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D4" w:rsidRDefault="003063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2A" w:rsidRDefault="00B72D2A" w:rsidP="00B72D2A">
      <w:pPr>
        <w:spacing w:after="0"/>
      </w:pPr>
      <w:r>
        <w:separator/>
      </w:r>
    </w:p>
  </w:footnote>
  <w:footnote w:type="continuationSeparator" w:id="0">
    <w:p w:rsidR="00B72D2A" w:rsidRDefault="00B72D2A" w:rsidP="00B72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832BF3"/>
    <w:multiLevelType w:val="hybridMultilevel"/>
    <w:tmpl w:val="EA6A6E70"/>
    <w:lvl w:ilvl="0" w:tplc="6D0E151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3E1CC4"/>
    <w:multiLevelType w:val="hybridMultilevel"/>
    <w:tmpl w:val="89947550"/>
    <w:lvl w:ilvl="0" w:tplc="3A706878">
      <w:start w:val="1"/>
      <w:numFmt w:val="decimal"/>
      <w:lvlText w:val="%1)"/>
      <w:lvlJc w:val="left"/>
      <w:pPr>
        <w:ind w:left="6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33B6D0F"/>
    <w:multiLevelType w:val="hybridMultilevel"/>
    <w:tmpl w:val="2EB06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0B38"/>
    <w:multiLevelType w:val="hybridMultilevel"/>
    <w:tmpl w:val="489023B4"/>
    <w:lvl w:ilvl="0" w:tplc="29FAD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92250"/>
    <w:multiLevelType w:val="hybridMultilevel"/>
    <w:tmpl w:val="0AC47468"/>
    <w:lvl w:ilvl="0" w:tplc="A2865D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B3A"/>
    <w:multiLevelType w:val="hybridMultilevel"/>
    <w:tmpl w:val="6012FF70"/>
    <w:lvl w:ilvl="0" w:tplc="3A706878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6" w:hanging="360"/>
      </w:pPr>
    </w:lvl>
    <w:lvl w:ilvl="2" w:tplc="0408001B" w:tentative="1">
      <w:start w:val="1"/>
      <w:numFmt w:val="lowerRoman"/>
      <w:lvlText w:val="%3."/>
      <w:lvlJc w:val="right"/>
      <w:pPr>
        <w:ind w:left="1936" w:hanging="180"/>
      </w:pPr>
    </w:lvl>
    <w:lvl w:ilvl="3" w:tplc="0408000F" w:tentative="1">
      <w:start w:val="1"/>
      <w:numFmt w:val="decimal"/>
      <w:lvlText w:val="%4."/>
      <w:lvlJc w:val="left"/>
      <w:pPr>
        <w:ind w:left="2656" w:hanging="360"/>
      </w:pPr>
    </w:lvl>
    <w:lvl w:ilvl="4" w:tplc="04080019" w:tentative="1">
      <w:start w:val="1"/>
      <w:numFmt w:val="lowerLetter"/>
      <w:lvlText w:val="%5."/>
      <w:lvlJc w:val="left"/>
      <w:pPr>
        <w:ind w:left="3376" w:hanging="360"/>
      </w:pPr>
    </w:lvl>
    <w:lvl w:ilvl="5" w:tplc="0408001B" w:tentative="1">
      <w:start w:val="1"/>
      <w:numFmt w:val="lowerRoman"/>
      <w:lvlText w:val="%6."/>
      <w:lvlJc w:val="right"/>
      <w:pPr>
        <w:ind w:left="4096" w:hanging="180"/>
      </w:pPr>
    </w:lvl>
    <w:lvl w:ilvl="6" w:tplc="0408000F" w:tentative="1">
      <w:start w:val="1"/>
      <w:numFmt w:val="decimal"/>
      <w:lvlText w:val="%7."/>
      <w:lvlJc w:val="left"/>
      <w:pPr>
        <w:ind w:left="4816" w:hanging="360"/>
      </w:pPr>
    </w:lvl>
    <w:lvl w:ilvl="7" w:tplc="04080019" w:tentative="1">
      <w:start w:val="1"/>
      <w:numFmt w:val="lowerLetter"/>
      <w:lvlText w:val="%8."/>
      <w:lvlJc w:val="left"/>
      <w:pPr>
        <w:ind w:left="5536" w:hanging="360"/>
      </w:pPr>
    </w:lvl>
    <w:lvl w:ilvl="8" w:tplc="0408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62261F8E"/>
    <w:multiLevelType w:val="hybridMultilevel"/>
    <w:tmpl w:val="6B4827D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A2719E"/>
    <w:multiLevelType w:val="hybridMultilevel"/>
    <w:tmpl w:val="92400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41AC5"/>
    <w:multiLevelType w:val="multilevel"/>
    <w:tmpl w:val="6B1A2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8F3897"/>
    <w:multiLevelType w:val="hybridMultilevel"/>
    <w:tmpl w:val="7988F074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2A"/>
    <w:rsid w:val="00133E6C"/>
    <w:rsid w:val="003063D9"/>
    <w:rsid w:val="00373E30"/>
    <w:rsid w:val="006A56A0"/>
    <w:rsid w:val="00B72D2A"/>
    <w:rsid w:val="00C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57528-D7A8-49BE-97E6-6A55C40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2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72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72D2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B72D2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B72D2A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2D2A"/>
    <w:pPr>
      <w:spacing w:before="240" w:after="60"/>
      <w:outlineLvl w:val="5"/>
    </w:pPr>
    <w:rPr>
      <w:rFonts w:cs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72D2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B72D2A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B72D2A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6Char">
    <w:name w:val="Επικεφαλίδα 6 Char"/>
    <w:basedOn w:val="a0"/>
    <w:link w:val="6"/>
    <w:uiPriority w:val="9"/>
    <w:semiHidden/>
    <w:rsid w:val="00B72D2A"/>
    <w:rPr>
      <w:rFonts w:ascii="Calibri" w:eastAsia="Times New Roman" w:hAnsi="Calibri" w:cs="Times New Roman"/>
      <w:b/>
      <w:bCs/>
      <w:lang w:val="en-GB" w:eastAsia="zh-CN"/>
    </w:rPr>
  </w:style>
  <w:style w:type="character" w:styleId="-">
    <w:name w:val="Hyperlink"/>
    <w:rsid w:val="00B72D2A"/>
    <w:rPr>
      <w:color w:val="0000FF"/>
      <w:u w:val="single"/>
    </w:rPr>
  </w:style>
  <w:style w:type="character" w:customStyle="1" w:styleId="a3">
    <w:name w:val="Χαρακτήρες υποσημείωσης"/>
    <w:rsid w:val="00B72D2A"/>
    <w:rPr>
      <w:rFonts w:cs="Times New Roman"/>
      <w:vertAlign w:val="superscript"/>
    </w:rPr>
  </w:style>
  <w:style w:type="character" w:customStyle="1" w:styleId="FootnoteReference2">
    <w:name w:val="Footnote Reference2"/>
    <w:rsid w:val="00B72D2A"/>
    <w:rPr>
      <w:vertAlign w:val="superscript"/>
    </w:rPr>
  </w:style>
  <w:style w:type="character" w:customStyle="1" w:styleId="a4">
    <w:name w:val="Σύμβολο υποσημείωσης"/>
    <w:rsid w:val="00B72D2A"/>
    <w:rPr>
      <w:vertAlign w:val="superscript"/>
    </w:rPr>
  </w:style>
  <w:style w:type="character" w:styleId="a5">
    <w:name w:val="endnote reference"/>
    <w:rsid w:val="00B72D2A"/>
    <w:rPr>
      <w:vertAlign w:val="superscript"/>
    </w:rPr>
  </w:style>
  <w:style w:type="paragraph" w:styleId="a6">
    <w:name w:val="Body Text"/>
    <w:basedOn w:val="a"/>
    <w:link w:val="Char"/>
    <w:rsid w:val="00B72D2A"/>
    <w:pPr>
      <w:spacing w:after="240"/>
    </w:pPr>
  </w:style>
  <w:style w:type="character" w:customStyle="1" w:styleId="Char">
    <w:name w:val="Σώμα κειμένου Char"/>
    <w:basedOn w:val="a0"/>
    <w:link w:val="a6"/>
    <w:rsid w:val="00B72D2A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0"/>
    <w:rsid w:val="00B72D2A"/>
    <w:pPr>
      <w:spacing w:after="100"/>
    </w:pPr>
    <w:rPr>
      <w:rFonts w:eastAsia="MS Mincho"/>
      <w:lang w:val="en-US" w:eastAsia="ja-JP"/>
    </w:rPr>
  </w:style>
  <w:style w:type="character" w:customStyle="1" w:styleId="Char0">
    <w:name w:val="Υποσέλιδο Char"/>
    <w:basedOn w:val="a0"/>
    <w:link w:val="a7"/>
    <w:rsid w:val="00B72D2A"/>
    <w:rPr>
      <w:rFonts w:ascii="Calibri" w:eastAsia="MS Mincho" w:hAnsi="Calibri" w:cs="Calibri"/>
      <w:szCs w:val="24"/>
      <w:lang w:val="en-US" w:eastAsia="ja-JP"/>
    </w:rPr>
  </w:style>
  <w:style w:type="paragraph" w:styleId="a8">
    <w:name w:val="endnote text"/>
    <w:basedOn w:val="a"/>
    <w:link w:val="Char1"/>
    <w:uiPriority w:val="99"/>
    <w:rsid w:val="00B72D2A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rsid w:val="00B72D2A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B72D2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9">
    <w:name w:val="Body Text Indent"/>
    <w:basedOn w:val="a"/>
    <w:link w:val="Char2"/>
    <w:rsid w:val="00B72D2A"/>
    <w:pPr>
      <w:ind w:firstLine="1134"/>
    </w:pPr>
    <w:rPr>
      <w:rFonts w:ascii="Arial" w:hAnsi="Arial" w:cs="Arial"/>
    </w:rPr>
  </w:style>
  <w:style w:type="character" w:customStyle="1" w:styleId="Char2">
    <w:name w:val="Σώμα κείμενου με εσοχή Char"/>
    <w:basedOn w:val="a0"/>
    <w:link w:val="a9"/>
    <w:rsid w:val="00B72D2A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B72D2A"/>
    <w:pPr>
      <w:spacing w:after="60"/>
    </w:pPr>
    <w:rPr>
      <w:lang w:val="el-GR"/>
    </w:rPr>
  </w:style>
  <w:style w:type="paragraph" w:customStyle="1" w:styleId="foothanging">
    <w:name w:val="foot_hanging"/>
    <w:basedOn w:val="aa"/>
    <w:rsid w:val="00B72D2A"/>
    <w:pPr>
      <w:ind w:left="426" w:hanging="426"/>
    </w:pPr>
    <w:rPr>
      <w:sz w:val="18"/>
      <w:szCs w:val="18"/>
      <w:lang w:val="en-IE"/>
    </w:rPr>
  </w:style>
  <w:style w:type="paragraph" w:styleId="-HTML">
    <w:name w:val="HTML Preformatted"/>
    <w:basedOn w:val="a"/>
    <w:link w:val="-HTMLChar"/>
    <w:uiPriority w:val="99"/>
    <w:rsid w:val="00B7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B72D2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20">
    <w:name w:val="Body Text 2"/>
    <w:basedOn w:val="a"/>
    <w:link w:val="2Char0"/>
    <w:uiPriority w:val="99"/>
    <w:unhideWhenUsed/>
    <w:rsid w:val="00B72D2A"/>
    <w:pPr>
      <w:spacing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B72D2A"/>
    <w:rPr>
      <w:rFonts w:ascii="Calibri" w:eastAsia="Times New Roman" w:hAnsi="Calibri" w:cs="Calibri"/>
      <w:szCs w:val="24"/>
      <w:lang w:val="en-GB" w:eastAsia="zh-CN"/>
    </w:rPr>
  </w:style>
  <w:style w:type="paragraph" w:styleId="ab">
    <w:name w:val="List Paragraph"/>
    <w:basedOn w:val="a"/>
    <w:uiPriority w:val="34"/>
    <w:qFormat/>
    <w:rsid w:val="00B72D2A"/>
    <w:pPr>
      <w:ind w:left="720"/>
    </w:pPr>
  </w:style>
  <w:style w:type="paragraph" w:styleId="30">
    <w:name w:val="Body Text 3"/>
    <w:basedOn w:val="a"/>
    <w:link w:val="3Char0"/>
    <w:uiPriority w:val="99"/>
    <w:semiHidden/>
    <w:unhideWhenUsed/>
    <w:rsid w:val="00B72D2A"/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B72D2A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31">
    <w:name w:val="Body Text Indent 3"/>
    <w:basedOn w:val="a"/>
    <w:link w:val="3Char1"/>
    <w:rsid w:val="00B72D2A"/>
    <w:pPr>
      <w:suppressAutoHyphens w:val="0"/>
      <w:ind w:left="283"/>
      <w:jc w:val="left"/>
    </w:pPr>
    <w:rPr>
      <w:rFonts w:ascii="Courier New" w:hAnsi="Courier New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1"/>
    <w:rsid w:val="00B72D2A"/>
    <w:rPr>
      <w:rFonts w:ascii="Courier New" w:eastAsia="Times New Roman" w:hAnsi="Courier New" w:cs="Times New Roman"/>
      <w:sz w:val="16"/>
      <w:szCs w:val="16"/>
      <w:lang w:eastAsia="el-GR"/>
    </w:rPr>
  </w:style>
  <w:style w:type="character" w:customStyle="1" w:styleId="DeltaViewInsertion">
    <w:name w:val="DeltaView Insertion"/>
    <w:rsid w:val="00B72D2A"/>
    <w:rPr>
      <w:b/>
      <w:i/>
      <w:spacing w:val="0"/>
      <w:lang w:val="el-GR"/>
    </w:rPr>
  </w:style>
  <w:style w:type="character" w:customStyle="1" w:styleId="NormalBoldChar">
    <w:name w:val="NormalBold Char"/>
    <w:rsid w:val="00B72D2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72D2A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72D2A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72D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a">
    <w:name w:val="footnote text"/>
    <w:basedOn w:val="a"/>
    <w:link w:val="Char3"/>
    <w:uiPriority w:val="99"/>
    <w:semiHidden/>
    <w:unhideWhenUsed/>
    <w:rsid w:val="00B72D2A"/>
    <w:pPr>
      <w:spacing w:after="0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uiPriority w:val="99"/>
    <w:semiHidden/>
    <w:rsid w:val="00B72D2A"/>
    <w:rPr>
      <w:rFonts w:ascii="Calibri" w:eastAsia="Times New Roman" w:hAnsi="Calibri" w:cs="Calibri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5</cp:revision>
  <dcterms:created xsi:type="dcterms:W3CDTF">2017-08-23T04:39:00Z</dcterms:created>
  <dcterms:modified xsi:type="dcterms:W3CDTF">2017-08-23T04:44:00Z</dcterms:modified>
</cp:coreProperties>
</file>