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7" w:rsidRDefault="00F60F17" w:rsidP="00F60F17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bookmarkStart w:id="0" w:name="_Toc323893369"/>
      <w:bookmarkStart w:id="1" w:name="_GoBack"/>
      <w:bookmarkEnd w:id="1"/>
      <w:r w:rsidRPr="0093768B">
        <w:rPr>
          <w:rFonts w:cs="Calibri"/>
          <w:b/>
          <w:bCs/>
          <w:sz w:val="28"/>
          <w:szCs w:val="28"/>
        </w:rPr>
        <w:t>ΠΑΡΑΡΤΗΜΑ Β</w:t>
      </w:r>
      <w:bookmarkEnd w:id="0"/>
    </w:p>
    <w:p w:rsidR="00F60F17" w:rsidRPr="00B331E3" w:rsidRDefault="00F60F17" w:rsidP="00F60F17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:rsidR="00F60F17" w:rsidRPr="0078277C" w:rsidRDefault="00F60F17" w:rsidP="00F60F1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ΤΕΧΝΙΚΕΣ ΠΡΟΔΙΑΓΡΑΦΕΣ</w:t>
      </w:r>
    </w:p>
    <w:p w:rsidR="00F60F17" w:rsidRPr="00810E3D" w:rsidRDefault="00F60F17" w:rsidP="00F60F17">
      <w:pPr>
        <w:keepNext/>
        <w:tabs>
          <w:tab w:val="left" w:pos="720"/>
        </w:tabs>
        <w:overflowPunct w:val="0"/>
        <w:autoSpaceDE w:val="0"/>
        <w:spacing w:before="240" w:after="240" w:line="240" w:lineRule="auto"/>
        <w:outlineLvl w:val="1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Μία (1) αυτόματη μηχανή παραγωγής </w:t>
      </w:r>
      <w:proofErr w:type="spellStart"/>
      <w:r>
        <w:rPr>
          <w:rFonts w:eastAsia="Times New Roman"/>
          <w:b/>
          <w:bCs/>
          <w:iCs/>
          <w:lang w:eastAsia="ar-SA"/>
        </w:rPr>
        <w:t>βιοντίζελ</w:t>
      </w:r>
      <w:proofErr w:type="spellEnd"/>
      <w:r>
        <w:rPr>
          <w:rFonts w:eastAsia="Times New Roman"/>
          <w:b/>
          <w:bCs/>
          <w:iCs/>
          <w:lang w:eastAsia="ar-SA"/>
        </w:rPr>
        <w:t xml:space="preserve"> από χρησιμοποιημένα μαγειρικά έλαια</w:t>
      </w:r>
    </w:p>
    <w:p w:rsidR="00F60F17" w:rsidRPr="00810E3D" w:rsidRDefault="00F60F17" w:rsidP="00F60F17">
      <w:pPr>
        <w:keepNext/>
        <w:tabs>
          <w:tab w:val="left" w:pos="720"/>
        </w:tabs>
        <w:overflowPunct w:val="0"/>
        <w:autoSpaceDE w:val="0"/>
        <w:spacing w:before="240" w:after="240" w:line="240" w:lineRule="auto"/>
        <w:outlineLvl w:val="1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Π</w:t>
      </w:r>
      <w:r w:rsidRPr="00810E3D">
        <w:rPr>
          <w:rFonts w:eastAsia="Times New Roman"/>
          <w:b/>
          <w:bCs/>
          <w:iCs/>
          <w:lang w:eastAsia="ar-SA"/>
        </w:rPr>
        <w:t xml:space="preserve">ροϋπολογισμός : </w:t>
      </w:r>
      <w:r>
        <w:rPr>
          <w:rFonts w:eastAsia="Times New Roman"/>
          <w:b/>
          <w:bCs/>
          <w:iCs/>
          <w:lang w:eastAsia="ar-SA"/>
        </w:rPr>
        <w:t>9.900,00</w:t>
      </w:r>
      <w:r w:rsidRPr="00810E3D">
        <w:rPr>
          <w:rFonts w:eastAsia="Times New Roman"/>
          <w:b/>
          <w:bCs/>
          <w:iCs/>
          <w:lang w:eastAsia="ar-SA"/>
        </w:rPr>
        <w:t>€ (</w:t>
      </w:r>
      <w:proofErr w:type="spellStart"/>
      <w:r w:rsidRPr="00810E3D">
        <w:rPr>
          <w:rFonts w:eastAsia="Times New Roman"/>
          <w:b/>
          <w:bCs/>
          <w:iCs/>
          <w:lang w:eastAsia="ar-SA"/>
        </w:rPr>
        <w:t>συμπ</w:t>
      </w:r>
      <w:proofErr w:type="spellEnd"/>
      <w:r w:rsidRPr="00810E3D">
        <w:rPr>
          <w:rFonts w:eastAsia="Times New Roman"/>
          <w:b/>
          <w:bCs/>
          <w:iCs/>
          <w:lang w:eastAsia="ar-SA"/>
        </w:rPr>
        <w:t>/νου ΦΠΑ)</w:t>
      </w:r>
    </w:p>
    <w:p w:rsidR="00F60F17" w:rsidRPr="00B331E3" w:rsidRDefault="00F60F17" w:rsidP="00F60F17">
      <w:pPr>
        <w:keepNext/>
        <w:tabs>
          <w:tab w:val="left" w:pos="720"/>
        </w:tabs>
        <w:overflowPunct w:val="0"/>
        <w:autoSpaceDE w:val="0"/>
        <w:spacing w:before="240" w:after="240" w:line="240" w:lineRule="auto"/>
        <w:outlineLvl w:val="1"/>
        <w:rPr>
          <w:rFonts w:eastAsia="Times New Roman"/>
          <w:b/>
          <w:bCs/>
          <w:iCs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1E3">
        <w:rPr>
          <w:rFonts w:eastAsia="Times New Roman"/>
          <w:b/>
          <w:bCs/>
          <w:iCs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Τεχνικές Προδιαγραφές </w:t>
      </w:r>
    </w:p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410"/>
        <w:gridCol w:w="3402"/>
        <w:gridCol w:w="1984"/>
        <w:gridCol w:w="1985"/>
      </w:tblGrid>
      <w:tr w:rsidR="00F60F17" w:rsidRPr="002A3155" w:rsidTr="00FE2929">
        <w:trPr>
          <w:trHeight w:val="537"/>
        </w:trPr>
        <w:tc>
          <w:tcPr>
            <w:tcW w:w="568" w:type="dxa"/>
            <w:shd w:val="clear" w:color="auto" w:fill="8DB3E2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8"/>
              <w:jc w:val="center"/>
              <w:rPr>
                <w:b/>
              </w:rPr>
            </w:pPr>
            <w:r w:rsidRPr="00EF38DF">
              <w:rPr>
                <w:b/>
              </w:rPr>
              <w:t>Α/Α</w:t>
            </w:r>
          </w:p>
        </w:tc>
        <w:tc>
          <w:tcPr>
            <w:tcW w:w="2410" w:type="dxa"/>
            <w:shd w:val="clear" w:color="auto" w:fill="8DB3E2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  <w:rPr>
                <w:b/>
              </w:rPr>
            </w:pPr>
            <w:r w:rsidRPr="00EF38DF">
              <w:rPr>
                <w:b/>
              </w:rPr>
              <w:t>Χαρακτηριστικό</w:t>
            </w:r>
          </w:p>
        </w:tc>
        <w:tc>
          <w:tcPr>
            <w:tcW w:w="3402" w:type="dxa"/>
            <w:shd w:val="clear" w:color="auto" w:fill="8DB3E2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  <w:rPr>
                <w:b/>
              </w:rPr>
            </w:pPr>
            <w:r w:rsidRPr="00EF38DF">
              <w:rPr>
                <w:b/>
              </w:rPr>
              <w:t>Προδιαγραφές</w:t>
            </w:r>
          </w:p>
        </w:tc>
        <w:tc>
          <w:tcPr>
            <w:tcW w:w="1984" w:type="dxa"/>
            <w:shd w:val="clear" w:color="auto" w:fill="8DB3E2"/>
            <w:vAlign w:val="center"/>
          </w:tcPr>
          <w:p w:rsidR="00F60F17" w:rsidRPr="00EF38DF" w:rsidRDefault="00F60F17" w:rsidP="00FE2929">
            <w:pPr>
              <w:overflowPunct w:val="0"/>
              <w:autoSpaceDE w:val="0"/>
              <w:spacing w:before="60" w:after="6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EF38DF">
              <w:rPr>
                <w:rFonts w:eastAsia="Times New Roman"/>
                <w:b/>
                <w:lang w:eastAsia="ar-SA"/>
              </w:rPr>
              <w:t>Απάντηση Προμηθευτή</w:t>
            </w:r>
          </w:p>
        </w:tc>
        <w:tc>
          <w:tcPr>
            <w:tcW w:w="1985" w:type="dxa"/>
            <w:shd w:val="clear" w:color="auto" w:fill="8DB3E2"/>
          </w:tcPr>
          <w:p w:rsidR="00F60F17" w:rsidRPr="00EF38DF" w:rsidRDefault="00F60F17" w:rsidP="00FE2929">
            <w:pPr>
              <w:overflowPunct w:val="0"/>
              <w:autoSpaceDE w:val="0"/>
              <w:spacing w:before="60" w:after="6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EF38DF">
              <w:rPr>
                <w:rFonts w:eastAsia="Times New Roman"/>
                <w:b/>
                <w:lang w:eastAsia="ar-SA"/>
              </w:rPr>
              <w:t>Παραπομπή</w:t>
            </w:r>
          </w:p>
        </w:tc>
      </w:tr>
      <w:tr w:rsidR="00F60F17" w:rsidRPr="002A3155" w:rsidTr="00FE2929">
        <w:trPr>
          <w:trHeight w:val="26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1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Αριθμός Μονάδων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Μία (1)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26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2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proofErr w:type="spellStart"/>
            <w:r w:rsidRPr="00EF38DF">
              <w:t>Mοντέλο</w:t>
            </w:r>
            <w:proofErr w:type="spellEnd"/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Να αναφερθεί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26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3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proofErr w:type="spellStart"/>
            <w:r w:rsidRPr="00EF38DF">
              <w:t>Kατασκευαστής</w:t>
            </w:r>
            <w:proofErr w:type="spellEnd"/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Να αναφερθεί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731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4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Κέλυφος Κατασκευής 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 Ατσάλι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731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5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proofErr w:type="spellStart"/>
            <w:r w:rsidRPr="00EF38DF">
              <w:t>Compact</w:t>
            </w:r>
            <w:proofErr w:type="spellEnd"/>
            <w:r w:rsidRPr="00EF38DF">
              <w:t xml:space="preserve"> κατασκευή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2"/>
            </w:pPr>
            <w:r w:rsidRPr="00EF38DF">
              <w:t xml:space="preserve">Η μηχανή να περιλαμβάνει όλα τα απαραίτητα υποσυστήματα (εκτός του αεροσυμπιεστή) σε μια </w:t>
            </w:r>
            <w:proofErr w:type="spellStart"/>
            <w:r w:rsidRPr="00EF38DF">
              <w:t>all</w:t>
            </w:r>
            <w:proofErr w:type="spellEnd"/>
            <w:r w:rsidRPr="00EF38DF">
              <w:t>-</w:t>
            </w:r>
            <w:proofErr w:type="spellStart"/>
            <w:r w:rsidRPr="00EF38DF">
              <w:t>in</w:t>
            </w:r>
            <w:proofErr w:type="spellEnd"/>
            <w:r w:rsidRPr="00EF38DF">
              <w:t>-</w:t>
            </w:r>
            <w:proofErr w:type="spellStart"/>
            <w:r w:rsidRPr="00EF38DF">
              <w:t>one</w:t>
            </w:r>
            <w:proofErr w:type="spellEnd"/>
            <w:r w:rsidRPr="00EF38DF">
              <w:t xml:space="preserve"> μονάδα, που θα καταλαμβάνει λίγο χώρο (&lt;= 1 m</w:t>
            </w:r>
            <w:r w:rsidRPr="00EF38DF">
              <w:rPr>
                <w:vertAlign w:val="superscript"/>
              </w:rPr>
              <w:t>2</w:t>
            </w:r>
            <w:r w:rsidRPr="00EF38DF">
              <w:t>).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2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2"/>
            </w:pPr>
          </w:p>
        </w:tc>
      </w:tr>
      <w:tr w:rsidR="00F60F17" w:rsidRPr="002A3155" w:rsidTr="00FE2929">
        <w:trPr>
          <w:trHeight w:val="67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6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Συμμόρφωση μονάδας κατά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CE, σύμφωνα με την Οδηγία 94/9/EΚ (ATEX)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71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7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155"/>
              <w:rPr>
                <w:rFonts w:eastAsia="Times New Roman" w:cs="Calibri"/>
              </w:rPr>
            </w:pPr>
            <w:r w:rsidRPr="00EF38DF">
              <w:rPr>
                <w:rFonts w:eastAsia="Times New Roman" w:cs="Calibri"/>
              </w:rPr>
              <w:t>Ετήσια παραγωγική ικανότητα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Τουλάχιστον 35.000l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9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8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Μεικτή χωρητικότητα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120l Αποθήκευση / 140l Επεξεργασία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9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9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Κύκλος </w:t>
            </w:r>
            <w:proofErr w:type="spellStart"/>
            <w:r w:rsidRPr="00EF38DF">
              <w:t>batch</w:t>
            </w:r>
            <w:proofErr w:type="spellEnd"/>
            <w:r w:rsidRPr="00EF38DF">
              <w:t xml:space="preserve"> διαδικασίας/ χωρητικότητα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 Έως 100 l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0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10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Χρόνος </w:t>
            </w:r>
            <w:proofErr w:type="spellStart"/>
            <w:r w:rsidRPr="00EF38DF">
              <w:t>batch</w:t>
            </w:r>
            <w:proofErr w:type="spellEnd"/>
            <w:r w:rsidRPr="00EF38DF">
              <w:t xml:space="preserve"> διαδικασίας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 Έως 24  ώρες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0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11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Διαδικασία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proofErr w:type="spellStart"/>
            <w:r w:rsidRPr="00EF38DF">
              <w:t>Aυτοματοποιημένη</w:t>
            </w:r>
            <w:proofErr w:type="spellEnd"/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0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12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Ρυθμός άντλησης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12 </w:t>
            </w:r>
            <w:proofErr w:type="spellStart"/>
            <w:r w:rsidRPr="00EF38DF">
              <w:t>lt</w:t>
            </w:r>
            <w:proofErr w:type="spellEnd"/>
            <w:r w:rsidRPr="00EF38DF">
              <w:t>/</w:t>
            </w:r>
            <w:proofErr w:type="spellStart"/>
            <w:r w:rsidRPr="00EF38DF">
              <w:t>min</w:t>
            </w:r>
            <w:proofErr w:type="spellEnd"/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rPr>
          <w:trHeight w:val="50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13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-HTML"/>
              <w:ind w:left="155"/>
              <w:rPr>
                <w:rFonts w:ascii="Calibri" w:hAnsi="Calibri" w:cs="Calibri"/>
                <w:sz w:val="22"/>
                <w:szCs w:val="22"/>
              </w:rPr>
            </w:pPr>
            <w:r w:rsidRPr="00EF38DF">
              <w:rPr>
                <w:rFonts w:ascii="Calibri" w:hAnsi="Calibri" w:cs="Calibri"/>
                <w:sz w:val="22"/>
                <w:szCs w:val="22"/>
                <w:lang w:val="el-GR"/>
              </w:rPr>
              <w:t>Μ</w:t>
            </w:r>
            <w:proofErr w:type="spellStart"/>
            <w:r w:rsidRPr="00EF38DF">
              <w:rPr>
                <w:rFonts w:ascii="Calibri" w:hAnsi="Calibri" w:cs="Calibri"/>
                <w:sz w:val="22"/>
                <w:szCs w:val="22"/>
              </w:rPr>
              <w:t>έθοδο</w:t>
            </w:r>
            <w:r w:rsidRPr="00EF38DF">
              <w:rPr>
                <w:rFonts w:ascii="Calibri" w:hAnsi="Calibri" w:cs="Calibri"/>
                <w:sz w:val="22"/>
                <w:szCs w:val="22"/>
                <w:lang w:val="el-GR"/>
              </w:rPr>
              <w:t>ς</w:t>
            </w:r>
            <w:proofErr w:type="spellEnd"/>
            <w:r w:rsidRPr="00EF38DF">
              <w:rPr>
                <w:rFonts w:ascii="Calibri" w:hAnsi="Calibri" w:cs="Calibri"/>
                <w:sz w:val="22"/>
                <w:szCs w:val="22"/>
              </w:rPr>
              <w:t xml:space="preserve"> καθαρισμού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</w:pPr>
            <w:r w:rsidRPr="00EF38DF">
              <w:t xml:space="preserve">   </w:t>
            </w:r>
            <w:proofErr w:type="spellStart"/>
            <w:r w:rsidRPr="00EF38DF">
              <w:t>Ion</w:t>
            </w:r>
            <w:proofErr w:type="spellEnd"/>
            <w:r w:rsidRPr="00EF38DF">
              <w:t xml:space="preserve"> </w:t>
            </w:r>
            <w:proofErr w:type="spellStart"/>
            <w:r w:rsidRPr="00EF38DF">
              <w:t>exchange</w:t>
            </w:r>
            <w:proofErr w:type="spellEnd"/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</w:pPr>
          </w:p>
        </w:tc>
      </w:tr>
      <w:tr w:rsidR="00F60F17" w:rsidRPr="002A3155" w:rsidTr="00FE2929">
        <w:trPr>
          <w:trHeight w:val="402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t>14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  <w:rPr>
                <w:lang w:eastAsia="en-US" w:bidi="ar-SA"/>
              </w:rPr>
            </w:pPr>
            <w:r w:rsidRPr="00EF38DF">
              <w:rPr>
                <w:lang w:eastAsia="en-US" w:bidi="ar-SA"/>
              </w:rPr>
              <w:t>Διαστάσεις ύψος  διάμετρος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>
              <w:rPr>
                <w:lang w:eastAsia="en-US" w:bidi="ar-SA"/>
              </w:rPr>
              <w:t xml:space="preserve"> Έως 180cm και  d</w:t>
            </w:r>
            <w:r w:rsidRPr="00EF38DF">
              <w:rPr>
                <w:lang w:eastAsia="en-US" w:bidi="ar-SA"/>
              </w:rPr>
              <w:t xml:space="preserve">60 cm 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</w:tr>
      <w:tr w:rsidR="00F60F17" w:rsidRPr="002A3155" w:rsidTr="00FE2929">
        <w:trPr>
          <w:trHeight w:val="425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</w:pPr>
            <w:r w:rsidRPr="00EF38DF">
              <w:t>15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rPr>
                <w:lang w:eastAsia="en-US" w:bidi="ar-SA"/>
              </w:rPr>
              <w:t xml:space="preserve">Βάρος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rPr>
                <w:lang w:eastAsia="en-US" w:bidi="ar-SA"/>
              </w:rPr>
              <w:t xml:space="preserve">Έως 75 </w:t>
            </w:r>
            <w:proofErr w:type="spellStart"/>
            <w:r w:rsidRPr="00EF38DF">
              <w:rPr>
                <w:lang w:eastAsia="en-US" w:bidi="ar-SA"/>
              </w:rPr>
              <w:t>kg</w:t>
            </w:r>
            <w:proofErr w:type="spellEnd"/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</w:tr>
      <w:tr w:rsidR="00F60F17" w:rsidRPr="002A3155" w:rsidTr="00FE2929">
        <w:trPr>
          <w:trHeight w:val="82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Ισχύς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2000 </w:t>
            </w:r>
            <w:r w:rsidRPr="00EF38DF">
              <w:rPr>
                <w:lang w:eastAsia="en-US" w:bidi="ar-SA"/>
              </w:rPr>
              <w:t>W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</w:tr>
      <w:tr w:rsidR="00F60F17" w:rsidRPr="00EF38DF" w:rsidTr="00FE2929">
        <w:trPr>
          <w:trHeight w:val="82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t>17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proofErr w:type="spellStart"/>
            <w:r w:rsidRPr="00EF38DF">
              <w:t>Φίλτρανση</w:t>
            </w:r>
            <w:proofErr w:type="spellEnd"/>
            <w:r w:rsidRPr="00EF38DF">
              <w:t xml:space="preserve">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-HTML"/>
              <w:ind w:left="141"/>
              <w:rPr>
                <w:rFonts w:ascii="Calibri" w:hAnsi="Calibri" w:cs="Calibri"/>
                <w:sz w:val="22"/>
                <w:szCs w:val="22"/>
              </w:rPr>
            </w:pPr>
            <w:r w:rsidRPr="00EF38DF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proofErr w:type="spellStart"/>
            <w:r w:rsidRPr="00EF38DF">
              <w:rPr>
                <w:rFonts w:ascii="Calibri" w:hAnsi="Calibri" w:cs="Calibri"/>
                <w:sz w:val="22"/>
                <w:szCs w:val="22"/>
              </w:rPr>
              <w:t>micron</w:t>
            </w:r>
            <w:proofErr w:type="spellEnd"/>
          </w:p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-HTML"/>
              <w:ind w:left="1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-HTML"/>
              <w:ind w:left="1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F17" w:rsidRPr="00EF38DF" w:rsidTr="00FE2929">
        <w:trPr>
          <w:trHeight w:val="82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t>18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Διαδικασία ανάμειξης (</w:t>
            </w:r>
            <w:proofErr w:type="spellStart"/>
            <w:r w:rsidRPr="00EF38DF">
              <w:t>Mixing</w:t>
            </w:r>
            <w:proofErr w:type="spellEnd"/>
            <w:r w:rsidRPr="00EF38DF">
              <w:t xml:space="preserve"> </w:t>
            </w:r>
            <w:proofErr w:type="spellStart"/>
            <w:r w:rsidRPr="00EF38DF">
              <w:t>Process</w:t>
            </w:r>
            <w:proofErr w:type="spellEnd"/>
            <w:r w:rsidRPr="00EF38DF">
              <w:t xml:space="preserve">)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-HTML"/>
              <w:ind w:left="14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F38DF">
              <w:rPr>
                <w:rFonts w:ascii="Calibri" w:hAnsi="Calibri" w:cs="Calibri"/>
                <w:sz w:val="22"/>
                <w:szCs w:val="22"/>
              </w:rPr>
              <w:t>Venturi</w:t>
            </w:r>
            <w:proofErr w:type="spellEnd"/>
            <w:r w:rsidRPr="00EF38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38DF">
              <w:rPr>
                <w:rFonts w:ascii="Calibri" w:hAnsi="Calibri" w:cs="Calibri"/>
                <w:sz w:val="22"/>
                <w:szCs w:val="22"/>
              </w:rPr>
              <w:t>recirculation</w:t>
            </w:r>
            <w:proofErr w:type="spellEnd"/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-HTML"/>
              <w:ind w:left="1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-HTML"/>
              <w:ind w:left="1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F17" w:rsidRPr="002A3155" w:rsidTr="00FE2929">
        <w:trPr>
          <w:trHeight w:val="82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t>19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Δοχείο Πρόσμιξης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  <w:r w:rsidRPr="00EF38DF">
              <w:rPr>
                <w:lang w:eastAsia="en-US" w:bidi="ar-SA"/>
              </w:rPr>
              <w:t>Να μην έχει ξεχωριστό δοχείο πρόσμιξης.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</w:tr>
      <w:tr w:rsidR="00F60F17" w:rsidRPr="002A3155" w:rsidTr="00FE2929">
        <w:trPr>
          <w:trHeight w:val="828"/>
        </w:trPr>
        <w:tc>
          <w:tcPr>
            <w:tcW w:w="568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t>20</w:t>
            </w:r>
          </w:p>
        </w:tc>
        <w:tc>
          <w:tcPr>
            <w:tcW w:w="2410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 xml:space="preserve">Τροφοδοσία </w:t>
            </w:r>
          </w:p>
        </w:tc>
        <w:tc>
          <w:tcPr>
            <w:tcW w:w="3402" w:type="dxa"/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rPr>
                <w:lang w:eastAsia="en-US" w:bidi="ar-SA"/>
              </w:rPr>
              <w:t>Κατάλληλη για λειτουργία σε δίκτυο διανομής Ευρώπης</w:t>
            </w:r>
          </w:p>
        </w:tc>
        <w:tc>
          <w:tcPr>
            <w:tcW w:w="1984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  <w:tc>
          <w:tcPr>
            <w:tcW w:w="1985" w:type="dxa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  <w:rPr>
                <w:lang w:eastAsia="en-US" w:bidi="ar-SA"/>
              </w:rPr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</w:pPr>
            <w:r w:rsidRPr="00EF38DF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Εγχειρίδια χρήσης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Να συνοδεύεται από αναλυτικό εγχειρίδιο χρήσης.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  <w:rPr>
                <w:lang w:val="en-US"/>
              </w:rPr>
            </w:pPr>
            <w:r w:rsidRPr="00EF38DF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Τεχνική Υποστήριξη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Ο προμηθευτής να δηλώσει τη δυνατότητα υποστήριξης με ανταλλακτικά και επισκευές και για πόσα έτη από την ημερομηνία αγορά.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  <w:rPr>
                <w:lang w:val="en-US"/>
              </w:rPr>
            </w:pPr>
            <w:r w:rsidRPr="00EF38DF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Υπάρχουσες εγκαταστάσεις εντός Ελλάδος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Να υπάρχει τουλάχιστον μια παλαιότερη εγκατάσταση εντός Ελλάδος από όμοιο σύστημα.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  <w:rPr>
                <w:lang w:val="en-US"/>
              </w:rPr>
            </w:pPr>
            <w:r w:rsidRPr="00EF38DF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Χώρα κατασκευής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Να κατασκευάζεται σε Ευρωπαϊκή χώρα.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  <w:rPr>
                <w:lang w:val="en-US"/>
              </w:rPr>
            </w:pPr>
            <w:r w:rsidRPr="00EF38DF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Εκπαίδευση χρήστη /επίδειξη μονάδας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Επίδειξη σε προσωπικό του ΠΚ σε καθορισμένη ημέρα μετά την παράδοση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jc w:val="center"/>
              <w:rPr>
                <w:lang w:val="en-US"/>
              </w:rPr>
            </w:pPr>
            <w:r w:rsidRPr="00EF38DF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Εγγύηση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Εγγύηση καλής λειτουργίας ενός  (1) έτους από την ημερομηνία παραλαβής της μονάδας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spacing w:line="288" w:lineRule="auto"/>
              <w:jc w:val="center"/>
              <w:rPr>
                <w:rFonts w:cs="Calibri"/>
                <w:lang w:val="en-US"/>
              </w:rPr>
            </w:pPr>
            <w:r w:rsidRPr="00EF38DF">
              <w:rPr>
                <w:rFonts w:cs="Calibri"/>
              </w:rPr>
              <w:t>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Παράδοση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Η μονάδα πρέπει να παραδοθεί έτοιμη προς λειτουργία. Η ευθύνη λειτουργίας της υπό παράδοση μονάδας βαραίνει τον προμηθευτή.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spacing w:line="288" w:lineRule="auto"/>
              <w:jc w:val="center"/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Ο προμηθευτής οφείλει να παραδώσει το παρεχόμενο προϊόν </w:t>
            </w:r>
            <w:r>
              <w:t>σε τοποθεσία που θα υποδείξει το Εργαστήριο εντός</w:t>
            </w:r>
            <w:r w:rsidRPr="00EF38DF">
              <w:t xml:space="preserve"> δήμου Ρεθύμν</w:t>
            </w:r>
            <w:r>
              <w:t>ης</w:t>
            </w:r>
            <w:r w:rsidRPr="00EF38D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  <w:rPr>
                <w:lang w:val="en-US"/>
              </w:rPr>
            </w:pPr>
            <w:r w:rsidRPr="00EF38DF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Χρόνος Παράδοσης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 xml:space="preserve">Έως 10 εβδομάδες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  <w:tr w:rsidR="00F60F17" w:rsidRPr="002A3155" w:rsidTr="00FE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right="75"/>
              <w:jc w:val="center"/>
              <w:rPr>
                <w:lang w:val="en-US"/>
              </w:rPr>
            </w:pPr>
            <w:r w:rsidRPr="00EF38DF"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55"/>
            </w:pPr>
            <w:r w:rsidRPr="00EF38DF">
              <w:t>Τρόπος Πληρωμής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  <w:r w:rsidRPr="00EF38DF">
              <w:t>Με κατάθεση στο λογαριασμό του αναδόχου, με το πέρας της παράδοσης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7" w:rsidRPr="00EF38DF" w:rsidRDefault="00F60F17" w:rsidP="00FE2929">
            <w:pPr>
              <w:pStyle w:val="TableParagraph"/>
              <w:spacing w:line="288" w:lineRule="auto"/>
              <w:ind w:left="141"/>
            </w:pPr>
          </w:p>
        </w:tc>
      </w:tr>
    </w:tbl>
    <w:p w:rsidR="00F60F17" w:rsidRPr="00B331E3" w:rsidRDefault="00F60F17" w:rsidP="00F60F17">
      <w:pPr>
        <w:rPr>
          <w:rFonts w:eastAsia="Times New Roman" w:cs="Verdana"/>
          <w:b/>
          <w:sz w:val="28"/>
          <w:szCs w:val="28"/>
        </w:rPr>
      </w:pPr>
    </w:p>
    <w:p w:rsidR="00F60F17" w:rsidRPr="00B331E3" w:rsidRDefault="00F60F17" w:rsidP="00F60F17">
      <w:pPr>
        <w:rPr>
          <w:rFonts w:eastAsia="Times New Roman" w:cs="Verdana"/>
          <w:b/>
          <w:sz w:val="28"/>
          <w:szCs w:val="28"/>
        </w:rPr>
      </w:pPr>
    </w:p>
    <w:p w:rsidR="00F60F17" w:rsidRPr="00B331E3" w:rsidRDefault="00F60F17" w:rsidP="00F60F17">
      <w:pPr>
        <w:rPr>
          <w:rFonts w:eastAsia="Times New Roman" w:cs="Verdana"/>
          <w:b/>
          <w:sz w:val="28"/>
          <w:szCs w:val="28"/>
        </w:rPr>
      </w:pPr>
    </w:p>
    <w:p w:rsidR="0002142E" w:rsidRDefault="0002142E"/>
    <w:sectPr w:rsidR="00021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7"/>
    <w:rsid w:val="0002142E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F6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F60F17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customStyle="1" w:styleId="TableParagraph">
    <w:name w:val="Table Paragraph"/>
    <w:basedOn w:val="a"/>
    <w:uiPriority w:val="1"/>
    <w:qFormat/>
    <w:rsid w:val="00F60F17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F6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F60F17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customStyle="1" w:styleId="TableParagraph">
    <w:name w:val="Table Paragraph"/>
    <w:basedOn w:val="a"/>
    <w:uiPriority w:val="1"/>
    <w:qFormat/>
    <w:rsid w:val="00F60F17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Κατσιούλη</dc:creator>
  <cp:lastModifiedBy>Μαρία Κατσιούλη</cp:lastModifiedBy>
  <cp:revision>1</cp:revision>
  <dcterms:created xsi:type="dcterms:W3CDTF">2018-02-12T11:11:00Z</dcterms:created>
  <dcterms:modified xsi:type="dcterms:W3CDTF">2018-02-12T11:11:00Z</dcterms:modified>
</cp:coreProperties>
</file>