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79" w:rsidRPr="00FA0537" w:rsidRDefault="00BD2D79" w:rsidP="00BD2D79">
      <w:pPr>
        <w:pStyle w:val="1"/>
        <w:jc w:val="center"/>
        <w:rPr>
          <w:sz w:val="28"/>
          <w:lang w:val="el-GR"/>
        </w:rPr>
      </w:pPr>
      <w:r w:rsidRPr="00FA0537">
        <w:rPr>
          <w:sz w:val="28"/>
          <w:lang w:val="el-GR"/>
        </w:rPr>
        <w:t xml:space="preserve">ΠΑΡΑΡΤΗΜΑ Δ’ ΤΗΣ ΥΠ΄ΑΡΙΘΜ </w:t>
      </w:r>
      <w:r w:rsidR="002F4872" w:rsidRPr="002F4872">
        <w:rPr>
          <w:sz w:val="28"/>
          <w:lang w:val="el-GR"/>
        </w:rPr>
        <w:t>4085/7.5.2020</w:t>
      </w:r>
      <w:r w:rsidRPr="00FA0537">
        <w:rPr>
          <w:sz w:val="28"/>
          <w:lang w:val="el-GR"/>
        </w:rPr>
        <w:t xml:space="preserve"> ΔΙΑΚΗΡΥΞΗΣ </w:t>
      </w:r>
    </w:p>
    <w:p w:rsidR="00BD2D79" w:rsidRPr="00133FB2" w:rsidRDefault="00BD2D79" w:rsidP="00BD2D79">
      <w:pPr>
        <w:rPr>
          <w:sz w:val="12"/>
          <w:szCs w:val="12"/>
        </w:rPr>
      </w:pPr>
    </w:p>
    <w:p w:rsidR="00BD2D79" w:rsidRPr="007B45B4" w:rsidRDefault="00BD2D79" w:rsidP="00BD2D79">
      <w:pPr>
        <w:jc w:val="center"/>
        <w:rPr>
          <w:b/>
          <w:sz w:val="24"/>
          <w:szCs w:val="24"/>
          <w:u w:val="single"/>
        </w:rPr>
      </w:pPr>
      <w:r w:rsidRPr="007B45B4">
        <w:rPr>
          <w:b/>
          <w:sz w:val="24"/>
          <w:szCs w:val="24"/>
          <w:u w:val="single"/>
        </w:rPr>
        <w:t>ΥΠΟΔΕΙΓΜΑ ΟΙΚΟΝΟΜΙΚΗΣ ΠΡΟΣΦΟΡΑΣ</w:t>
      </w:r>
    </w:p>
    <w:p w:rsidR="00BD2D79" w:rsidRPr="00F739EB" w:rsidRDefault="00BD2D79" w:rsidP="00BD2D79">
      <w:pPr>
        <w:spacing w:after="120" w:line="240" w:lineRule="auto"/>
        <w:jc w:val="both"/>
        <w:rPr>
          <w:rFonts w:cs="Calibri"/>
          <w:sz w:val="16"/>
          <w:szCs w:val="16"/>
        </w:rPr>
      </w:pPr>
    </w:p>
    <w:p w:rsidR="00BD2D79" w:rsidRPr="00885BBD" w:rsidRDefault="00BD2D79" w:rsidP="00BD2D79">
      <w:pPr>
        <w:suppressAutoHyphens/>
        <w:spacing w:before="115" w:after="120"/>
        <w:jc w:val="both"/>
        <w:rPr>
          <w:rFonts w:eastAsia="Times New Roman" w:cs="Calibri"/>
          <w:b/>
          <w:lang w:eastAsia="zh-CN"/>
        </w:rPr>
      </w:pPr>
      <w:r w:rsidRPr="00885BBD">
        <w:rPr>
          <w:rFonts w:eastAsia="Times New Roman" w:cs="Calibri"/>
          <w:b/>
          <w:lang w:eastAsia="zh-CN"/>
        </w:rPr>
        <w:t>ΠΡΟΣ ΠΟΛΥΤΕΧΝΕΙΟ ΚΡΗΤΗΣ</w:t>
      </w:r>
    </w:p>
    <w:p w:rsidR="00BD2D79" w:rsidRPr="00885BBD" w:rsidRDefault="00BD2D79" w:rsidP="00BD2D79">
      <w:pPr>
        <w:suppressAutoHyphens/>
        <w:spacing w:after="0" w:line="240" w:lineRule="auto"/>
        <w:jc w:val="center"/>
        <w:rPr>
          <w:rFonts w:eastAsia="Times New Roman" w:cs="Calibri"/>
          <w:b/>
          <w:i/>
          <w:u w:val="double"/>
          <w:lang w:eastAsia="zh-CN"/>
        </w:rPr>
      </w:pPr>
      <w:r w:rsidRPr="00885BBD">
        <w:rPr>
          <w:rFonts w:eastAsia="Times New Roman" w:cs="Calibri"/>
          <w:b/>
          <w:i/>
          <w:u w:val="double"/>
          <w:lang w:eastAsia="zh-CN"/>
        </w:rPr>
        <w:t>ΟΙ</w:t>
      </w:r>
      <w:r w:rsidR="00DE5CF7">
        <w:rPr>
          <w:rFonts w:eastAsia="Times New Roman" w:cs="Calibri"/>
          <w:b/>
          <w:i/>
          <w:u w:val="double"/>
          <w:lang w:eastAsia="zh-CN"/>
        </w:rPr>
        <w:t>ΚΟΝΟΜΙΚΗ ΠΡΟΣΦΟΡΑ</w:t>
      </w:r>
      <w:r>
        <w:rPr>
          <w:rFonts w:eastAsia="Times New Roman" w:cs="Calibri"/>
          <w:b/>
          <w:i/>
          <w:u w:val="double"/>
          <w:lang w:eastAsia="zh-CN"/>
        </w:rPr>
        <w:t xml:space="preserve"> </w:t>
      </w:r>
    </w:p>
    <w:p w:rsidR="00BD2D79" w:rsidRPr="00885BBD" w:rsidRDefault="00BD2D79" w:rsidP="00BD2D79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Για τον συνοπτικό διαγωνισμό</w:t>
      </w:r>
      <w:r w:rsidRPr="00885BBD">
        <w:rPr>
          <w:rFonts w:eastAsia="Times New Roman" w:cs="Calibri"/>
          <w:lang w:eastAsia="zh-CN"/>
        </w:rPr>
        <w:t xml:space="preserve"> με ανοικτή διαδικασία, σφραγισμένες προφορές και κριτήριο ανάθεσης την πλέον συμφέρουσα από οικονομικής άποψης προσφορά βάσει τιμής για την προμήθεια εξοπλισμού της Γ’ Φάσης Φοι</w:t>
      </w:r>
      <w:r>
        <w:rPr>
          <w:rFonts w:eastAsia="Times New Roman" w:cs="Calibri"/>
          <w:lang w:eastAsia="zh-CN"/>
        </w:rPr>
        <w:t>τητικής εστίας (Ηλεκτρικές Οικιακές Συσκευές)</w:t>
      </w:r>
      <w:r w:rsidRPr="00885BBD">
        <w:rPr>
          <w:rFonts w:eastAsia="Times New Roman" w:cs="Calibri"/>
          <w:lang w:eastAsia="zh-CN"/>
        </w:rPr>
        <w:t xml:space="preserve">, της </w:t>
      </w:r>
      <w:proofErr w:type="spellStart"/>
      <w:r w:rsidRPr="00885BBD">
        <w:rPr>
          <w:rFonts w:eastAsia="Times New Roman" w:cs="Calibri"/>
          <w:lang w:eastAsia="zh-CN"/>
        </w:rPr>
        <w:t>υπ΄αριθμ</w:t>
      </w:r>
      <w:proofErr w:type="spellEnd"/>
      <w:r w:rsidRPr="00640709">
        <w:rPr>
          <w:rFonts w:eastAsia="Times New Roman" w:cs="Calibri"/>
          <w:lang w:eastAsia="zh-CN"/>
        </w:rPr>
        <w:t xml:space="preserve">. </w:t>
      </w:r>
      <w:r w:rsidR="00640709" w:rsidRPr="00640709">
        <w:rPr>
          <w:rFonts w:eastAsia="Times New Roman" w:cs="Calibri"/>
          <w:lang w:eastAsia="zh-CN"/>
        </w:rPr>
        <w:t>4085/7.5.2020</w:t>
      </w:r>
      <w:r w:rsidRPr="00885BBD">
        <w:rPr>
          <w:rFonts w:eastAsia="Times New Roman" w:cs="Calibri"/>
          <w:lang w:eastAsia="zh-CN"/>
        </w:rPr>
        <w:t xml:space="preserve"> διακήρυξης </w:t>
      </w:r>
      <w:r>
        <w:rPr>
          <w:rFonts w:eastAsia="Times New Roman" w:cs="Calibri"/>
          <w:lang w:eastAsia="zh-CN"/>
        </w:rPr>
        <w:t>εκτιμώμενης αξίας 31.354,84 € πλέον ΦΠΑ 7.525,16</w:t>
      </w:r>
      <w:r w:rsidRPr="00885BBD">
        <w:rPr>
          <w:rFonts w:eastAsia="Times New Roman" w:cs="Calibri"/>
          <w:lang w:eastAsia="zh-CN"/>
        </w:rPr>
        <w:t xml:space="preserve"> €, ήτοι συνολικό ποσό 38.880,00 € συμπεριλαμβανομένου ΦΠΑ, υποβάλλουμε την ακόλουθη οικονομική προσφορά, η οποία ισχύει έως ……………</w:t>
      </w:r>
      <w:r>
        <w:rPr>
          <w:rFonts w:eastAsia="Times New Roman" w:cs="Calibri"/>
          <w:lang w:eastAsia="zh-CN"/>
        </w:rPr>
        <w:t>..</w:t>
      </w:r>
      <w:r w:rsidRPr="00885BBD">
        <w:rPr>
          <w:rFonts w:eastAsia="Times New Roman" w:cs="Calibri"/>
          <w:lang w:eastAsia="zh-CN"/>
        </w:rPr>
        <w:t xml:space="preserve">…………(συμπληρώνεται από τον προσφέροντα σύμφωνα με τα οριζόμενα στην </w:t>
      </w:r>
      <w:proofErr w:type="spellStart"/>
      <w:r w:rsidRPr="00885BBD">
        <w:rPr>
          <w:rFonts w:eastAsia="Times New Roman" w:cs="Calibri"/>
          <w:lang w:eastAsia="zh-CN"/>
        </w:rPr>
        <w:t>υπ΄αριθμ</w:t>
      </w:r>
      <w:proofErr w:type="spellEnd"/>
      <w:r w:rsidR="00640709" w:rsidRPr="00640709">
        <w:rPr>
          <w:rFonts w:eastAsia="Times New Roman" w:cs="Calibri"/>
          <w:lang w:eastAsia="zh-CN"/>
        </w:rPr>
        <w:t>. 4</w:t>
      </w:r>
      <w:r w:rsidR="00640709" w:rsidRPr="00640709">
        <w:rPr>
          <w:rFonts w:eastAsia="Times New Roman" w:cs="Calibri"/>
          <w:lang w:val="en-US" w:eastAsia="zh-CN"/>
        </w:rPr>
        <w:t>085</w:t>
      </w:r>
      <w:r w:rsidR="00640709" w:rsidRPr="00640709">
        <w:rPr>
          <w:rFonts w:eastAsia="Times New Roman" w:cs="Calibri"/>
          <w:lang w:eastAsia="zh-CN"/>
        </w:rPr>
        <w:t>/7.5.2020</w:t>
      </w:r>
      <w:bookmarkStart w:id="0" w:name="_GoBack"/>
      <w:bookmarkEnd w:id="0"/>
      <w:r w:rsidRPr="00885BBD">
        <w:rPr>
          <w:rFonts w:eastAsia="Times New Roman" w:cs="Calibri"/>
          <w:lang w:eastAsia="zh-CN"/>
        </w:rPr>
        <w:t xml:space="preserve">  Διακήρυξη):</w:t>
      </w:r>
    </w:p>
    <w:p w:rsidR="0072346E" w:rsidRPr="00885BBD" w:rsidRDefault="0072346E" w:rsidP="0072346E">
      <w:pPr>
        <w:suppressAutoHyphens/>
        <w:spacing w:after="120" w:line="240" w:lineRule="auto"/>
        <w:jc w:val="both"/>
        <w:rPr>
          <w:rFonts w:eastAsia="Times New Roman" w:cs="Calibri"/>
          <w:lang w:eastAsia="zh-CN"/>
        </w:rPr>
      </w:pPr>
    </w:p>
    <w:p w:rsidR="00BD2D79" w:rsidRPr="005E48E5" w:rsidRDefault="0072346E" w:rsidP="0072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0"/>
          <w:szCs w:val="20"/>
          <w:highlight w:val="yellow"/>
          <w:lang w:eastAsia="zh-CN"/>
        </w:rPr>
      </w:pPr>
      <w:r w:rsidRPr="005E48E5">
        <w:rPr>
          <w:rFonts w:eastAsia="Times New Roman" w:cs="Calibri"/>
          <w:bCs/>
          <w:sz w:val="20"/>
          <w:szCs w:val="20"/>
          <w:highlight w:val="yellow"/>
          <w:lang w:eastAsia="zh-CN"/>
        </w:rPr>
        <w:t xml:space="preserve">                   </w:t>
      </w:r>
    </w:p>
    <w:tbl>
      <w:tblPr>
        <w:tblW w:w="8515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575"/>
        <w:gridCol w:w="709"/>
        <w:gridCol w:w="2725"/>
        <w:gridCol w:w="1857"/>
      </w:tblGrid>
      <w:tr w:rsidR="00BD2D79" w:rsidRPr="00885BBD" w:rsidTr="008E1E5C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640709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b/>
                <w:color w:val="000000"/>
                <w:lang w:eastAsia="zh-CN"/>
              </w:rPr>
            </w:pPr>
            <w:r w:rsidRPr="00640709">
              <w:rPr>
                <w:rFonts w:eastAsia="Times New Roman" w:cs="Calibri"/>
                <w:b/>
                <w:color w:val="000000"/>
                <w:lang w:eastAsia="zh-CN"/>
              </w:rPr>
              <w:t>Α/Α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640709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b/>
                <w:color w:val="000000"/>
                <w:lang w:eastAsia="zh-CN"/>
              </w:rPr>
            </w:pPr>
            <w:r w:rsidRPr="00640709">
              <w:rPr>
                <w:rFonts w:eastAsia="Times New Roman" w:cs="Calibri"/>
                <w:b/>
                <w:color w:val="000000"/>
                <w:lang w:eastAsia="zh-CN"/>
              </w:rPr>
              <w:t>ΣΥΣΚΕΥΗ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640709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b/>
                <w:strike/>
                <w:color w:val="000000"/>
                <w:highlight w:val="yellow"/>
                <w:lang w:eastAsia="zh-CN"/>
              </w:rPr>
            </w:pPr>
            <w:r w:rsidRPr="00640709">
              <w:rPr>
                <w:rFonts w:eastAsia="Times New Roman" w:cs="Calibri"/>
                <w:b/>
                <w:color w:val="000000"/>
                <w:lang w:eastAsia="zh-CN"/>
              </w:rPr>
              <w:t>ΤΕΜ.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zh-CN"/>
              </w:rPr>
            </w:pPr>
            <w:r w:rsidRPr="00885BBD">
              <w:rPr>
                <w:rFonts w:eastAsia="Times New Roman" w:cs="Calibri"/>
                <w:b/>
                <w:lang w:eastAsia="zh-CN"/>
              </w:rPr>
              <w:t>ΠΡΟΣΦΕΡΟΜΕΝΗ ΤΙΜΗ ΑΝΑ ΤΕΜΑΧΙΟ ΕΙΔΟΥΣ (χωρίς ΦΠΑ)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b/>
                <w:lang w:eastAsia="zh-CN"/>
              </w:rPr>
            </w:pPr>
            <w:r w:rsidRPr="00885BBD">
              <w:rPr>
                <w:rFonts w:eastAsia="Times New Roman" w:cs="Calibri"/>
                <w:b/>
                <w:lang w:eastAsia="zh-CN"/>
              </w:rPr>
              <w:t>ΣΥΝΟΛΙΚΗ ΠΡΟΣΦΕΡΟΜΕΝΗ ΤΙΜΗ για το σύνολο τεμαχίων του είδους (χωρίς ΦΠΑ)</w:t>
            </w:r>
          </w:p>
        </w:tc>
      </w:tr>
      <w:tr w:rsidR="00BD2D79" w:rsidRPr="00885BBD" w:rsidTr="008E1E5C">
        <w:trPr>
          <w:trHeight w:val="66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 w:rsidRPr="00885BBD">
              <w:rPr>
                <w:rFonts w:eastAsia="Times New Roman" w:cs="Calibri"/>
                <w:lang w:val="en-GB" w:eastAsia="zh-CN"/>
              </w:rPr>
              <w:t>Ψυγειοκαταψύκτης οικιακού τύπου δίπορτος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trike/>
                <w:color w:val="000000"/>
                <w:highlight w:val="yellow"/>
                <w:lang w:val="en-GB" w:eastAsia="zh-CN"/>
              </w:rPr>
            </w:pPr>
            <w:r w:rsidRPr="00885BBD">
              <w:rPr>
                <w:rFonts w:eastAsia="Times New Roman" w:cs="Calibri"/>
                <w:color w:val="000000"/>
                <w:lang w:val="en-GB" w:eastAsia="zh-CN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55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 w:rsidRPr="00885BBD">
              <w:rPr>
                <w:rFonts w:eastAsia="Times New Roman" w:cs="Calibri"/>
                <w:lang w:val="en-GB" w:eastAsia="zh-CN"/>
              </w:rPr>
              <w:t xml:space="preserve">Ηλεκτρικός φούρνος εντοιχιζόμενος inox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trike/>
                <w:color w:val="000000"/>
                <w:highlight w:val="yellow"/>
                <w:lang w:val="en-GB" w:eastAsia="zh-CN"/>
              </w:rPr>
            </w:pPr>
            <w:r w:rsidRPr="00885BBD">
              <w:rPr>
                <w:rFonts w:eastAsia="Times New Roman" w:cs="Calibri"/>
                <w:color w:val="000000"/>
                <w:lang w:val="en-GB" w:eastAsia="zh-CN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154D52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lang w:eastAsia="zh-CN"/>
              </w:rPr>
              <w:t>Ε</w:t>
            </w:r>
            <w:r w:rsidR="00BD2D79" w:rsidRPr="00885BBD">
              <w:rPr>
                <w:rFonts w:eastAsia="Times New Roman" w:cs="Calibri"/>
                <w:lang w:val="en-GB" w:eastAsia="zh-CN"/>
              </w:rPr>
              <w:t>στίες εντοιχιζόμενες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trike/>
                <w:color w:val="000000"/>
                <w:highlight w:val="yellow"/>
                <w:lang w:val="en-GB" w:eastAsia="zh-CN"/>
              </w:rPr>
            </w:pPr>
            <w:r w:rsidRPr="00885BBD">
              <w:rPr>
                <w:rFonts w:eastAsia="Times New Roman" w:cs="Calibri"/>
                <w:color w:val="000000"/>
                <w:lang w:val="en-GB" w:eastAsia="zh-CN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 w:rsidRPr="00885BBD">
              <w:rPr>
                <w:rFonts w:eastAsia="Times New Roman" w:cs="Calibri"/>
                <w:lang w:val="en-GB" w:eastAsia="zh-CN"/>
              </w:rPr>
              <w:t>Πλυντήριο ρούχων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trike/>
                <w:color w:val="000000"/>
                <w:highlight w:val="yellow"/>
                <w:lang w:val="en-GB" w:eastAsia="zh-CN"/>
              </w:rPr>
            </w:pPr>
            <w:r w:rsidRPr="00885BBD">
              <w:rPr>
                <w:rFonts w:eastAsia="Times New Roman" w:cs="Calibri"/>
                <w:color w:val="000000"/>
                <w:lang w:val="en-GB" w:eastAsia="zh-CN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 w:rsidRPr="00885BBD">
              <w:rPr>
                <w:rFonts w:eastAsia="Times New Roman" w:cs="Calibri"/>
                <w:lang w:val="en-GB" w:eastAsia="zh-CN"/>
              </w:rPr>
              <w:t xml:space="preserve">Inox Απορροφητήρας, τύπου καμινάδας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trike/>
                <w:color w:val="000000"/>
                <w:highlight w:val="yellow"/>
                <w:lang w:val="en-GB" w:eastAsia="zh-CN"/>
              </w:rPr>
            </w:pPr>
            <w:r w:rsidRPr="00885BBD">
              <w:rPr>
                <w:rFonts w:eastAsia="Times New Roman" w:cs="Calibri"/>
                <w:color w:val="000000"/>
                <w:lang w:val="en-GB" w:eastAsia="zh-CN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 w:rsidRPr="00885BBD">
              <w:rPr>
                <w:rFonts w:eastAsia="Times New Roman" w:cs="Calibri"/>
                <w:i/>
                <w:lang w:val="en-GB" w:eastAsia="zh-CN"/>
              </w:rPr>
              <w:t>ΣΥΝΟΛΟ ΧΩΡΙΣ ΦΠΑ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  <w:r w:rsidRPr="00885BBD">
              <w:rPr>
                <w:rFonts w:eastAsia="Times New Roman" w:cs="Calibri"/>
                <w:i/>
                <w:lang w:val="en-GB" w:eastAsia="zh-CN"/>
              </w:rPr>
              <w:t>ΦΠΑ 24%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32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b/>
                <w:color w:val="000000"/>
                <w:lang w:val="en-GB" w:eastAsia="zh-CN"/>
              </w:rPr>
            </w:pPr>
            <w:r w:rsidRPr="00885BBD">
              <w:rPr>
                <w:rFonts w:eastAsia="Times New Roman" w:cs="Calibri"/>
                <w:b/>
                <w:i/>
                <w:sz w:val="28"/>
                <w:lang w:val="en-GB" w:eastAsia="zh-CN"/>
              </w:rPr>
              <w:t>ΣΥΝΟΛΟ ΜΕ ΦΠΑ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27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b/>
                <w:i/>
                <w:sz w:val="28"/>
                <w:lang w:val="en-GB"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D2D79" w:rsidRPr="00885BBD" w:rsidTr="008E1E5C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885BBD" w:rsidRDefault="00BD2D79" w:rsidP="008E1E5C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color w:val="000000"/>
                <w:sz w:val="28"/>
                <w:lang w:val="en-GB" w:eastAsia="zh-CN"/>
              </w:rPr>
            </w:pP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D2D79" w:rsidRPr="00133FB2" w:rsidRDefault="00BD2D79" w:rsidP="008E1E5C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lang w:eastAsia="zh-CN"/>
              </w:rPr>
              <w:t xml:space="preserve"> </w:t>
            </w:r>
            <w:r w:rsidRPr="00133FB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zh-CN"/>
              </w:rPr>
              <w:t>Σύνολο Προϋπολογισμού Ηλεκτρικών Συσκευών (Συμπεριλαμβανομένου ΦΠΑ)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D79" w:rsidRPr="00133FB2" w:rsidRDefault="00BD2D79" w:rsidP="008E1E5C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133F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GB" w:eastAsia="zh-CN"/>
              </w:rPr>
              <w:t>38.880,00 €</w:t>
            </w:r>
          </w:p>
        </w:tc>
      </w:tr>
    </w:tbl>
    <w:p w:rsidR="0072346E" w:rsidRDefault="0072346E" w:rsidP="0072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bCs/>
        </w:rPr>
      </w:pPr>
      <w:r w:rsidRPr="005E48E5">
        <w:rPr>
          <w:rFonts w:eastAsia="Times New Roman" w:cs="Calibri"/>
          <w:bCs/>
          <w:sz w:val="20"/>
          <w:szCs w:val="20"/>
          <w:highlight w:val="yellow"/>
          <w:lang w:eastAsia="zh-CN"/>
        </w:rPr>
        <w:t xml:space="preserve">                           </w:t>
      </w:r>
    </w:p>
    <w:p w:rsidR="00BD2D79" w:rsidRPr="00885BBD" w:rsidRDefault="00BD2D79" w:rsidP="00BD2D79">
      <w:pPr>
        <w:suppressAutoHyphens/>
        <w:spacing w:after="120" w:line="240" w:lineRule="auto"/>
        <w:jc w:val="both"/>
        <w:rPr>
          <w:rFonts w:eastAsia="Times New Roman" w:cs="Calibri"/>
          <w:i/>
          <w:lang w:eastAsia="zh-CN"/>
        </w:rPr>
      </w:pPr>
      <w:r w:rsidRPr="00885BBD">
        <w:rPr>
          <w:rFonts w:eastAsia="Times New Roman" w:cs="Calibri"/>
          <w:i/>
          <w:lang w:eastAsia="zh-CN"/>
        </w:rPr>
        <w:t>Ο Προσφέρων</w:t>
      </w:r>
    </w:p>
    <w:p w:rsidR="00BD2D79" w:rsidRDefault="00BD2D79" w:rsidP="00BD2D79">
      <w:pPr>
        <w:suppressAutoHyphens/>
        <w:spacing w:after="120" w:line="240" w:lineRule="auto"/>
        <w:jc w:val="both"/>
        <w:rPr>
          <w:rFonts w:eastAsia="Times New Roman" w:cs="Calibri"/>
          <w:i/>
          <w:lang w:eastAsia="zh-CN"/>
        </w:rPr>
      </w:pPr>
      <w:r w:rsidRPr="00885BBD">
        <w:rPr>
          <w:rFonts w:eastAsia="Times New Roman" w:cs="Calibri"/>
          <w:i/>
          <w:lang w:eastAsia="zh-CN"/>
        </w:rPr>
        <w:t>Επωνυμία (σφραγίδα) και υπογραφή</w:t>
      </w:r>
    </w:p>
    <w:p w:rsidR="0072346E" w:rsidRDefault="0072346E" w:rsidP="0072346E">
      <w:pPr>
        <w:spacing w:after="0" w:line="240" w:lineRule="auto"/>
        <w:jc w:val="center"/>
        <w:rPr>
          <w:rFonts w:cs="Calibri"/>
          <w:b/>
          <w:bCs/>
        </w:rPr>
      </w:pPr>
    </w:p>
    <w:p w:rsidR="0072346E" w:rsidRDefault="0072346E" w:rsidP="0072346E">
      <w:pPr>
        <w:spacing w:after="0" w:line="240" w:lineRule="auto"/>
        <w:jc w:val="center"/>
        <w:rPr>
          <w:rFonts w:cs="Calibri"/>
          <w:b/>
          <w:bCs/>
        </w:rPr>
      </w:pPr>
    </w:p>
    <w:p w:rsidR="00A67D7A" w:rsidRDefault="00A67D7A"/>
    <w:sectPr w:rsidR="00A67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6E"/>
    <w:rsid w:val="00005EEE"/>
    <w:rsid w:val="00023B31"/>
    <w:rsid w:val="00054F64"/>
    <w:rsid w:val="00154D52"/>
    <w:rsid w:val="002F4872"/>
    <w:rsid w:val="00640709"/>
    <w:rsid w:val="0072346E"/>
    <w:rsid w:val="00A67D7A"/>
    <w:rsid w:val="00BD2D79"/>
    <w:rsid w:val="00D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A06E-80AF-49D4-BC95-634528B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72346E"/>
    <w:pPr>
      <w:keepNext/>
      <w:keepLines/>
      <w:spacing w:before="240" w:after="0"/>
      <w:outlineLvl w:val="0"/>
    </w:pPr>
    <w:rPr>
      <w:rFonts w:ascii="Cambria" w:hAnsi="Cambria" w:cs="Cambria"/>
      <w:b/>
      <w:bCs/>
      <w:color w:val="365F91"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2346E"/>
    <w:rPr>
      <w:rFonts w:ascii="Cambria" w:eastAsia="Calibri" w:hAnsi="Cambria" w:cs="Cambria"/>
      <w:b/>
      <w:bCs/>
      <w:color w:val="365F91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Παϊζάκης</dc:creator>
  <cp:keywords/>
  <dc:description/>
  <cp:lastModifiedBy>Παναγιώτης Παϊζάκης</cp:lastModifiedBy>
  <cp:revision>9</cp:revision>
  <dcterms:created xsi:type="dcterms:W3CDTF">2020-04-09T09:13:00Z</dcterms:created>
  <dcterms:modified xsi:type="dcterms:W3CDTF">2020-05-07T07:00:00Z</dcterms:modified>
</cp:coreProperties>
</file>