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B2" w:rsidRDefault="009206B2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708"/>
        <w:gridCol w:w="1276"/>
        <w:gridCol w:w="1984"/>
        <w:gridCol w:w="2401"/>
        <w:gridCol w:w="1285"/>
      </w:tblGrid>
      <w:tr w:rsidR="00767D70" w:rsidRPr="00964BF5" w:rsidTr="00807AE2">
        <w:trPr>
          <w:trHeight w:val="720"/>
          <w:jc w:val="center"/>
        </w:trPr>
        <w:tc>
          <w:tcPr>
            <w:tcW w:w="425" w:type="dxa"/>
            <w:shd w:val="clear" w:color="000000" w:fill="FDE9D9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264" w:type="dxa"/>
            <w:shd w:val="clear" w:color="000000" w:fill="FDE9D9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Είδος/Υπηρεσία</w:t>
            </w:r>
          </w:p>
        </w:tc>
        <w:tc>
          <w:tcPr>
            <w:tcW w:w="708" w:type="dxa"/>
            <w:shd w:val="clear" w:color="000000" w:fill="FDE9D9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276" w:type="dxa"/>
            <w:shd w:val="clear" w:color="000000" w:fill="FDE9D9"/>
          </w:tcPr>
          <w:p w:rsidR="00767D70" w:rsidRPr="00964BF5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</w:t>
            </w:r>
            <w:proofErr w:type="spellStart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μονάδος</w:t>
            </w:r>
            <w:proofErr w:type="spellEnd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(αριθμητικώς και ολογράφως) καθαρή αξία</w:t>
            </w:r>
          </w:p>
        </w:tc>
        <w:tc>
          <w:tcPr>
            <w:tcW w:w="1984" w:type="dxa"/>
            <w:shd w:val="clear" w:color="000000" w:fill="FDE9D9"/>
          </w:tcPr>
          <w:p w:rsidR="00767D70" w:rsidRPr="00964BF5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καθαρή αξία</w:t>
            </w:r>
          </w:p>
        </w:tc>
        <w:tc>
          <w:tcPr>
            <w:tcW w:w="2401" w:type="dxa"/>
            <w:shd w:val="clear" w:color="000000" w:fill="FDE9D9"/>
          </w:tcPr>
          <w:p w:rsidR="00767D70" w:rsidRPr="00964BF5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για το σύνολο της ποσότητας κάθε είδους (αριθμητικώς και ολογράφως)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/νου ΦΠΑ</w:t>
            </w:r>
          </w:p>
        </w:tc>
        <w:tc>
          <w:tcPr>
            <w:tcW w:w="1285" w:type="dxa"/>
            <w:shd w:val="clear" w:color="000000" w:fill="FDE9D9"/>
          </w:tcPr>
          <w:p w:rsidR="00767D70" w:rsidRPr="00964BF5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Ποσοστό ΦΠΑ / Ποσό που αντιστοιχεί στον ΦΠΑ</w:t>
            </w:r>
          </w:p>
        </w:tc>
      </w:tr>
      <w:tr w:rsidR="00767D70" w:rsidRPr="00964BF5" w:rsidTr="00807AE2">
        <w:trPr>
          <w:trHeight w:val="67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1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 Γενικά αναλώσιμα: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Κολλαρα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θαλάμου PAR-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Transparent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Accumulation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παρακολούθηση έκλυσης αερίων θερμοκηπίου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Tips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των 200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1000)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Tips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των 1000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1000)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Πλαστικοί σωληνίσκοι των 15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50)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Πλαστικοί σωληνίσκοι των 50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25)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Ογκομετρικός κύλινδρος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γυαλινος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25ml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 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Ογκομετρικός κύλινδρος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γυαλινος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10ml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(Γεν. Αναλ.)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Γυαλινη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μέτρησης 5ml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2264" w:type="dxa"/>
            <w:shd w:val="clear" w:color="000000" w:fill="FFFFFF"/>
            <w:noWrap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Γυαλινη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μέτρησης 10ml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(Γεν. Αναλ.)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Γυαλινη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μέτρησης 1ml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Πουάρ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3 βαλβίδων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Πιπέτες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pasteur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γυάλινες με κοντή μύτη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/250)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Πιπέτες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pasteur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γυάλινες με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μακρια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μύτη 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/250)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45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Syringe Filters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Whatman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™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Uniflo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™ 25mm 0.45 PVDF (9909-2504) (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.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7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Ποτήρι ζέσεως 1000mL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Ποτήρι ζέσεως 50mL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/12)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Whatman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Grade 42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Ashless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Filter Paper, diameter 110 mm, 100 Circle (1442-110</w:t>
            </w:r>
            <w:proofErr w:type="gram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)  (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“T” UNTAPERED CONNECTORS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/ 10)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Filter flasks, Erlenmeyer shape, borosilicate glass 3.3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MF 3 PES Magnetic filter holder with PP lid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Μικροσπάτουλα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- κουτάλι ανοξείδωτη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Σπατουλα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- κουτάλι ανοξείδωτη 150Χ26Χ13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Σπατουλα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- κουτάλι ανοξείδωτη 190Χ30Χ20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Joint grease (80g)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Tips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πιπέτας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των 1000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500)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(Γεν.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Γάντια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νιτριλίου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Smal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(10 πακέτα με 100τμχ)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Γάντια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νιτριλίου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Medium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(10 πακέτα με 100τμχ)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Γεν. 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lastRenderedPageBreak/>
              <w:t>29</w:t>
            </w:r>
          </w:p>
        </w:tc>
        <w:tc>
          <w:tcPr>
            <w:tcW w:w="2264" w:type="dxa"/>
            <w:shd w:val="clear" w:color="auto" w:fill="auto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Culture Flasks, Treated, sterile (200 pieces)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2264" w:type="dxa"/>
            <w:shd w:val="clear" w:color="auto" w:fill="auto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Cell spreaders - HIPS - sterile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/100)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2264" w:type="dxa"/>
            <w:shd w:val="clear" w:color="auto" w:fill="auto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Flask - cell culture - vent cap 25mL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pkg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/100)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Γεν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2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Αναλώσιμα Η/Υ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Σκληρός δίσκος SSD 2 T USB 3.2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type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C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 Η/Υ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46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Μνήμες RAM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συμβατες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 DELL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Precision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7560 2x32 G DDR4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 Η/Υ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2264" w:type="dxa"/>
            <w:shd w:val="clear" w:color="auto" w:fill="auto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Memory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stick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512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Gb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USB 3.2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type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C με ταχύτητα ανάγνωσης/εγγραφής μεγαλύτερη των 900MB/s 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Αναλ. Η/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Υ)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3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Χημικά Αναλώσιμα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Sodium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Hydrogen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Carbonate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(500g)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Χημ. Αναλ.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9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Sodium phosphate (1kg)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Pottasium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Persulfate (500g)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Sodium Nitroprusside (25g)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Joint grease (80g)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Νιτρικό οξύ  (2.5 L)  (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Αιθανόλη καθαρή (2.5 L)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(Χημ. Αναλ.)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R2A agar (500 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Sodium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polytungstate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(100 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)</w:t>
            </w:r>
            <w:proofErr w:type="gram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Potassium </w:t>
            </w:r>
            <w:proofErr w:type="gram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permanganate  (</w:t>
            </w:r>
            <w:proofErr w:type="gram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250 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Sodium Salicylate (500g)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)</w:t>
            </w:r>
            <w:proofErr w:type="gram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4-MUB-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β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-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glucopyranoside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(100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4-MUB-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β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-D-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cellobioside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(100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4-MUB-N-acetyl-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β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-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glucosaminide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(100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4-MUB-phosphate (250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4- MUB-sulfate (500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4-MUB-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β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-D-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xyloside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(100 mg)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4-Methylumbelliferone (25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(Χημ. Αναλ. 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Peptone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from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meat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μικροβιολογική χρήση (1000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(Χημ. Αναλ. )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Yeast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extract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σε σκόνη για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μικροβιολογια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(250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(Χημ. Αναλ. 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Peptone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from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casein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μικροβιολογική χρήση (1000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(Χημ. Αναλ. )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Cresol red (5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Barium chloride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dihydrate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(1 kg)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FePO4 · 2H2O  (250 g)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(Χημ. Αναλ. 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103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lastRenderedPageBreak/>
              <w:t>59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MicroResp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προσδιορισμού αναπνοής εδάφους το οποί περιλαμβάνει i)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Seal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ii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Filling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Device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iii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Clamp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iv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Technical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Manual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καθώς και v) 5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Deepwell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plates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vi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5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microplates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vii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1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MicroStrip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plate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(Χημ. Αναλ. 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6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2264" w:type="dxa"/>
            <w:shd w:val="clear" w:color="000000" w:fill="FFFFFF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Malachite Green Phosphate Assay Kit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Χημ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gram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. )</w:t>
            </w:r>
            <w:proofErr w:type="gram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43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Τμήμα 4- Αναλώσιμα μοριακής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βιολογ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.: 100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bp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DNA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Ladder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Πλαστικοί σωληνίσκοι 500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500)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1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Hotstart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High fidelity ready mix DNA polymerase 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κατάλληλη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για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κατασκευή</w:t>
            </w: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16S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rRNA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gene NGS libraries (500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rxts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2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Gel 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Prestain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Buffer with Tracking Dye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Φιαλίδια αποθήκευσης μικροοργανισμών σε συνθήκες βαθιάς κατάψυξης (250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96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well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plates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 καπάκι (100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συμβατά με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StepOnePlus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67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Cuvetes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semi micro, 1,6 ml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100)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Αναλ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Loops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αποστειρωμένες των 10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και μήκους 195mm (50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packs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x 10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pcs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Serological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Pipette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αποστειρωμένες των 2ml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/150pcs)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 </w:t>
            </w:r>
            <w:r w:rsidRPr="00964BF5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Serological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Pipette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αποστειρωμένες των 10ml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/150pcs)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Σωληνισκοι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φυγοκέντρου των 1.7ml (25,000xg) (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pack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/1000) </w:t>
            </w:r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7D70" w:rsidRPr="00964BF5" w:rsidTr="00807AE2">
        <w:trPr>
          <w:trHeight w:val="52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Σφραγγιδες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plates</w:t>
            </w:r>
            <w:proofErr w:type="spellEnd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συμβατές με συσκευή </w:t>
            </w:r>
            <w:proofErr w:type="spellStart"/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StepOnePlus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(100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τεμ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) (Αναλ.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Μορ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. </w:t>
            </w:r>
            <w:proofErr w:type="spellStart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Βιολ</w:t>
            </w:r>
            <w:proofErr w:type="spellEnd"/>
            <w:r w:rsidRPr="003E57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7D70" w:rsidRPr="003E5741" w:rsidRDefault="00767D70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76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984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2401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85" w:type="dxa"/>
          </w:tcPr>
          <w:p w:rsidR="00767D70" w:rsidRPr="00964BF5" w:rsidRDefault="00767D70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</w:tbl>
    <w:p w:rsidR="00767D70" w:rsidRPr="00964BF5" w:rsidRDefault="00767D70" w:rsidP="00767D70">
      <w:pPr>
        <w:rPr>
          <w:rFonts w:ascii="Times New Roman" w:hAnsi="Times New Roman" w:cs="Times New Roman"/>
          <w:sz w:val="16"/>
          <w:szCs w:val="16"/>
        </w:rPr>
      </w:pPr>
    </w:p>
    <w:p w:rsidR="00767D70" w:rsidRPr="003F3C49" w:rsidRDefault="00767D70" w:rsidP="00767D70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F3C49">
        <w:rPr>
          <w:rFonts w:ascii="Times New Roman" w:hAnsi="Times New Roman" w:cs="Times New Roman"/>
          <w:b/>
          <w:sz w:val="20"/>
          <w:szCs w:val="20"/>
          <w:lang w:val="el-GR"/>
        </w:rPr>
        <w:t>Επισημαίνεται ότι η τιμή προσφοράς πρέπει να δοθεί ανά επιμέρους είδος τμήματος και συνολικά για τα είδη κάθε τμήματος.</w:t>
      </w:r>
    </w:p>
    <w:p w:rsidR="00767D70" w:rsidRPr="005873A1" w:rsidRDefault="00767D70" w:rsidP="00767D7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  <w:r>
        <w:rPr>
          <w:rFonts w:ascii="Times New Roman" w:hAnsi="Times New Roman" w:cs="Times New Roman"/>
          <w:sz w:val="20"/>
          <w:szCs w:val="20"/>
          <w:lang w:val="el-GR"/>
        </w:rPr>
        <w:t>Έως την 20</w:t>
      </w:r>
      <w:r w:rsidRPr="004D5A52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Οκτωβρίου 2022 (πέντε – 5 – μήνες από την επομένης της καταληκτικής ημερομηνίας για την υποβολή)</w:t>
      </w:r>
    </w:p>
    <w:p w:rsidR="00767D70" w:rsidRPr="005873A1" w:rsidRDefault="00767D70" w:rsidP="00767D7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767D70" w:rsidRDefault="00767D70" w:rsidP="00767D7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:rsidR="00767D70" w:rsidRPr="00112064" w:rsidRDefault="00767D70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bookmarkStart w:id="0" w:name="_GoBack"/>
      <w:bookmarkEnd w:id="0"/>
    </w:p>
    <w:sectPr w:rsidR="00767D70" w:rsidRPr="0011206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2" w:rsidRDefault="009206B2" w:rsidP="009206B2">
      <w:pPr>
        <w:spacing w:after="0"/>
      </w:pPr>
      <w:r>
        <w:separator/>
      </w:r>
    </w:p>
  </w:endnote>
  <w:endnote w:type="continuationSeparator" w:id="0">
    <w:p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B2" w:rsidRDefault="009206B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70">
      <w:rPr>
        <w:noProof/>
        <w:lang w:val="el-GR" w:eastAsia="el-GR"/>
      </w:rPr>
      <w:drawing>
        <wp:inline distT="0" distB="0" distL="0" distR="0" wp14:anchorId="522225BF">
          <wp:extent cx="5495290" cy="4953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2" w:rsidRDefault="009206B2" w:rsidP="009206B2">
      <w:pPr>
        <w:spacing w:after="0"/>
      </w:pPr>
      <w:r>
        <w:separator/>
      </w:r>
    </w:p>
  </w:footnote>
  <w:footnote w:type="continuationSeparator" w:id="0">
    <w:p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A"/>
    <w:rsid w:val="001278BD"/>
    <w:rsid w:val="002A5019"/>
    <w:rsid w:val="00767D70"/>
    <w:rsid w:val="008B36BE"/>
    <w:rsid w:val="009206B2"/>
    <w:rsid w:val="009F3408"/>
    <w:rsid w:val="00B05824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F9C53C2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2022-02-23T10:52:00Z</dcterms:created>
  <dcterms:modified xsi:type="dcterms:W3CDTF">2022-04-20T07:05:00Z</dcterms:modified>
</cp:coreProperties>
</file>