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AFD" w14:textId="372AE893" w:rsidR="00F9667F" w:rsidRDefault="0031706B" w:rsidP="00DE0E0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290F9F" wp14:editId="5167341E">
                <wp:simplePos x="0" y="0"/>
                <wp:positionH relativeFrom="column">
                  <wp:posOffset>4066830</wp:posOffset>
                </wp:positionH>
                <wp:positionV relativeFrom="paragraph">
                  <wp:posOffset>-78980</wp:posOffset>
                </wp:positionV>
                <wp:extent cx="360" cy="360"/>
                <wp:effectExtent l="38100" t="38100" r="57150" b="5715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6F29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3" o:spid="_x0000_s1026" type="#_x0000_t75" style="position:absolute;margin-left:319.5pt;margin-top:-6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KGmz9roBAABdBAAAEAAAAAAAAAAAAAAAAADQAwAAZHJzL2luay9pbmsx&#10;LnhtbFBLAQItABQABgAIAAAAIQBBj98X5AAAAAsBAAAPAAAAAAAAAAAAAAAAALg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</w:p>
    <w:p w14:paraId="1DD9B0C4" w14:textId="5044707F" w:rsidR="009459DB" w:rsidRPr="009459DB" w:rsidRDefault="009459DB" w:rsidP="009459DB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  <w:r w:rsidRPr="009459DB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>ΠΑΡΑΡΤΗΜΑ Α΄: Τεχνικές Προδιαγραφές</w:t>
      </w:r>
    </w:p>
    <w:p w14:paraId="435F05C0" w14:textId="77777777" w:rsidR="009459DB" w:rsidRPr="009459DB" w:rsidRDefault="009459DB" w:rsidP="009459DB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</w:p>
    <w:tbl>
      <w:tblPr>
        <w:tblW w:w="9239" w:type="dxa"/>
        <w:jc w:val="center"/>
        <w:tblLook w:val="04A0" w:firstRow="1" w:lastRow="0" w:firstColumn="1" w:lastColumn="0" w:noHBand="0" w:noVBand="1"/>
      </w:tblPr>
      <w:tblGrid>
        <w:gridCol w:w="495"/>
        <w:gridCol w:w="6276"/>
        <w:gridCol w:w="1090"/>
        <w:gridCol w:w="1378"/>
      </w:tblGrid>
      <w:tr w:rsidR="009459DB" w:rsidRPr="0031706B" w14:paraId="1AF0CF21" w14:textId="77777777" w:rsidTr="00800291">
        <w:trPr>
          <w:trHeight w:val="7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6C7995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11301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Είδος/Υπηρεσία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C31150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77BFEF4" w14:textId="77777777" w:rsidR="009459DB" w:rsidRPr="009459DB" w:rsidRDefault="009459DB" w:rsidP="009459D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9459DB">
              <w:rPr>
                <w:rFonts w:ascii="Times New Roman" w:hAnsi="Times New Roman" w:cs="Times New Roman"/>
                <w:b/>
                <w:sz w:val="20"/>
                <w:szCs w:val="20"/>
                <w:lang w:val="el-GR" w:eastAsia="el-GR"/>
              </w:rPr>
              <w:t>Συμμόρφωση ΝΑΙ/ΟΧΙ  (να αναφερθεί)</w:t>
            </w:r>
          </w:p>
        </w:tc>
      </w:tr>
      <w:tr w:rsidR="00B12037" w:rsidRPr="009459DB" w14:paraId="6E329BBE" w14:textId="77777777" w:rsidTr="00721424">
        <w:trPr>
          <w:trHeight w:val="67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62E3" w14:textId="08FE084B" w:rsidR="00B12037" w:rsidRPr="009459DB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B12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 1-Γενικά αναλώσιμα</w:t>
            </w:r>
          </w:p>
        </w:tc>
      </w:tr>
      <w:tr w:rsidR="00B12037" w:rsidRPr="009459DB" w14:paraId="330661F4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B77" w14:textId="3BC3A0D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240" w14:textId="6AE0ACAE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Tips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πιπέτας των 200 μ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1000)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476" w14:textId="484D701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A16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21B2BBD0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4456" w14:textId="5AFEF2A9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64B" w14:textId="5DD21D50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Tips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πιπέτας των 1000 μ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1000)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6ED" w14:textId="60BB62A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71B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6C376B79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79E" w14:textId="01B015F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95C" w14:textId="0FC54DC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Πλαστικοί σωληνίσκοι των 15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50)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DAC4" w14:textId="1F46B234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412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15E07053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01C" w14:textId="5B474CAA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DFF" w14:textId="762F2A9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Πλαστικοί σωληνίσκοι των 50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25)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71BA" w14:textId="0A82ABF2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7FE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665AF9CA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EAB4" w14:textId="59550ED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154" w14:textId="520B0D66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Tips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πιπέτας των 1000 μ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500)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99C" w14:textId="0D0DDB86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433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86A20B7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44B8" w14:textId="2F275354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0C3" w14:textId="67AB5282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Γάντια νιτριλίου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Smal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(10 πακέτα με 100τμχ)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2256" w14:textId="32893339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3DB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DBDD797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E340" w14:textId="12B495B6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CEC4" w14:textId="515EA07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Πλαστικά (πολυκαρβονικό) δοχεία με καπάκι κατάλληλα για καλλιέργεια φυτικών ιστών καθώς επίσης σποριόφυτων υπό ασηπτικές συνθήκες. Οι ενδεικνυόμενες διαστάσεις είναι 77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77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97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. Το καπάκι θα πρέπει να επιτρέπει την ανταλλαγή αέρα και υδρατμών. Τα δοχεία θα πρέπει να είναι μπορούν να αποστειρωθούν και να είναι ανθεκτικά σε μακρόχρονη χρήση και άθραυστα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7BC" w14:textId="364001AD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2E3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3215498B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D57F" w14:textId="34E01294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5A48" w14:textId="508D2602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μικρο-σωλινίσκοι του 1.5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ependorf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pkg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/500)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3A46" w14:textId="51F80499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929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0256488A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68E" w14:textId="133578B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D65A" w14:textId="32D554A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Χαρτί εργαστηρίου σε ρολό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22C6" w14:textId="3D1E2453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4F3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2D6772C0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379E" w14:textId="1DB6FAE0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AF59" w14:textId="486455D3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Γάντια νιτριλίου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(10 πακέτα με 100τμχ)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A20D" w14:textId="4C3D590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9D2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287D9DE5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F1D5" w14:textId="4CEE3CB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8086" w14:textId="688DC93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Pottasium Persulfate (500g)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702C" w14:textId="226D5B76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324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26BD8F84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0A8" w14:textId="1CF9FD1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E66" w14:textId="585A89D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Νιτρικό οξύ (2.5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B227" w14:textId="2467045A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681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6A04381C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DD3" w14:textId="00FF1A0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AD72" w14:textId="1F1EC53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Αιθανόλη καθαρή (2.5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C76F" w14:textId="7A80A49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8B5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7FBA3B95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7AA4" w14:textId="0142B661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1B5" w14:textId="123203DA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R2A agar (500 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3536" w14:textId="23CA8D5A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4E5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027E975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AD87" w14:textId="0394D41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EB2E" w14:textId="60679B0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Potassium permanganate (250 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4D6F" w14:textId="01B402D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968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198B3F4C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FCB4" w14:textId="4F858CE3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5F02" w14:textId="71DD9FA9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4-MUB-β-glucopyranoside (100 mg)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8C7E" w14:textId="5E430105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388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18B44F3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0481" w14:textId="6FCAEBA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7DB0" w14:textId="4B8AF981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4-MUB-β-D-cellobioside (100 mg)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A4F4" w14:textId="2D9297CA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A37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13AD2551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77F" w14:textId="0A6B8E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lastRenderedPageBreak/>
              <w:t>18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13B7" w14:textId="6BD5F69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4-MUB-N-acetyl-β-glucosaminide (100 mg)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1A2" w14:textId="0A63349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8A3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771B3D04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E91" w14:textId="06B7ABE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0F15" w14:textId="1AE53E0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4-MUB-phosphate (250 mg)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C97" w14:textId="67895CB8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D08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15E8C599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CBC" w14:textId="1B08AB6A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62EC" w14:textId="1BB6F84E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4-MUB-β-D-xyloside (100 mg)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BD7E" w14:textId="55608CA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8BC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5E84B412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522" w14:textId="670AE15D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15D2" w14:textId="74016F22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Yeast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extract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σε σκόνη για μικροβιολογια (250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E32B" w14:textId="76116495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635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9B56D7E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080F" w14:textId="40B5E7B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E20B" w14:textId="144CA470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Peptone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casein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για μικροβιολογική χρήση (1000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B7C" w14:textId="5B4D1D59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591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6894B244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513D" w14:textId="16DE1B33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8287" w14:textId="386BD62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Αποστειρωμένα petri dishes ( pkg/480, 92 x 16 mm, transparent, without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4810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18A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B12037" w:rsidRPr="009459DB" w14:paraId="5ABEEC17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D390" w14:textId="0A713BED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4A1" w14:textId="1C040C9C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ventilation cams)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2BBE" w14:textId="6264801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E42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2E0E372E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20B2" w14:textId="74BD01C5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2D8C" w14:textId="449377EE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Αποστειρωμένα petri dishes ( pkg/500, 60 x 15 mm, transparent)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861" w14:textId="686CC36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6E1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88960FF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267" w14:textId="23532926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80F9" w14:textId="09C8D44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Microcentrifuge tubes 2mL (2 συσκευασίες) (pkg /500)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4FC" w14:textId="7884E7AE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7B0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332C35F0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EA1B" w14:textId="662BE89E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4FD" w14:textId="1DB90562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Trisodium phosphate (Na3PO4) (1 kg)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45F5" w14:textId="5E104E2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CBF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4E52FA93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F70D" w14:textId="20485043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96C6" w14:textId="329307E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Χλωροφόρμιο χωρίς αιθανόλη (2.5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(Γεν.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6BA" w14:textId="4DA4268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4BE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3EF6BEF2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B32A" w14:textId="41A67651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4352" w14:textId="2D66E68E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Υπερχλωρικό οξύ (70%) (1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A4AA" w14:textId="5FA7A36F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B9C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20FF0261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1F60" w14:textId="490E660D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7FC9" w14:textId="3D35CEF6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Malachite Green Phosphate Assay Kit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4106" w14:textId="545193F3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873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193ACE5B" w14:textId="77777777" w:rsidTr="00B12037">
        <w:trPr>
          <w:trHeight w:val="6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0B77" w14:textId="3A94780B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D855" w14:textId="58A5B049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Καπάκι ξηραντήρα κενού 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158" w14:textId="6768C6A5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D37" w14:textId="77777777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9459DB" w:rsidRPr="009459DB" w14:paraId="74FB1C09" w14:textId="77777777" w:rsidTr="00800291">
        <w:trPr>
          <w:trHeight w:val="442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9DD1" w14:textId="29A23EA4" w:rsidR="009459DB" w:rsidRPr="00B12037" w:rsidRDefault="009459DB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12037" w:rsidRPr="009459DB" w14:paraId="55496045" w14:textId="77777777" w:rsidTr="00800291">
        <w:trPr>
          <w:trHeight w:val="442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4ED1" w14:textId="5049D9F1" w:rsidR="00B12037" w:rsidRPr="00B12037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B120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Τμήμα 2- Αναλώσιμα μοριακής βιολογίας</w:t>
            </w:r>
          </w:p>
        </w:tc>
      </w:tr>
      <w:tr w:rsidR="00B12037" w:rsidRPr="009459DB" w14:paraId="72117F54" w14:textId="77777777" w:rsidTr="00C16A32">
        <w:trPr>
          <w:trHeight w:val="57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F8D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2ED9" w14:textId="603FA7E2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Cuvetes semi micro, 1,6 ml (pck 100)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084" w14:textId="158CB2B9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F3" w14:textId="7777777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B12037" w:rsidRPr="009459DB" w14:paraId="27756D74" w14:textId="77777777" w:rsidTr="00C16A32">
        <w:trPr>
          <w:trHeight w:val="55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C6B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BDC" w14:textId="1374F59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Πλαστικοί σωληνίσκοι 500 μ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500) (Αναλ. Μορ.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Βιολ)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2B5" w14:textId="23E803D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FED" w14:textId="7777777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B12037" w:rsidRPr="009459DB" w14:paraId="33512741" w14:textId="77777777" w:rsidTr="00C16A32">
        <w:trPr>
          <w:trHeight w:val="5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369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CCB" w14:textId="61A032CB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Hotstart High fidelity ready mix DNA polymerase κατάλληλη για κατασκευή 16S rRNA gene NGS libraries (500 rxts) (Αναλ. Μορ. Βιολ)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5EE" w14:textId="2345B713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21BE" w14:textId="7777777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B12037" w:rsidRPr="009459DB" w14:paraId="2462D562" w14:textId="77777777" w:rsidTr="00C16A32">
        <w:trPr>
          <w:trHeight w:val="54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90D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529" w14:textId="7554B862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PCR-grade water (50 ml) (Αναλ. Μορ. Βιολ)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135" w14:textId="04936FF3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6147" w14:textId="7777777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B12037" w:rsidRPr="009459DB" w14:paraId="5D18B63B" w14:textId="77777777" w:rsidTr="00C16A32">
        <w:trPr>
          <w:trHeight w:val="56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DC5A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B08" w14:textId="05276EC4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Loops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αποστειρωμένες των 10 μ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, και μήκους 195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(50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packs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10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(Αναλ. Μορ.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Βιολ)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94E" w14:textId="747753A9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F181" w14:textId="7777777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B12037" w:rsidRPr="009459DB" w14:paraId="5A48D679" w14:textId="77777777" w:rsidTr="00C16A32">
        <w:trPr>
          <w:trHeight w:val="55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382" w14:textId="77777777" w:rsidR="00B12037" w:rsidRPr="00C16A32" w:rsidRDefault="00B12037" w:rsidP="00B1203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9F2F" w14:textId="1F956E8A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Serological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Pipette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αποστειρωμένες των 2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pack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/150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pcs</w:t>
            </w:r>
            <w:r w:rsidRPr="00C16A32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(Αναλ. Μορ. </w:t>
            </w: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Βιολ)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A751" w14:textId="1F69BCD9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C16A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EB6" w14:textId="77777777" w:rsidR="00B12037" w:rsidRPr="00C16A32" w:rsidRDefault="00B12037" w:rsidP="00C16A3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</w:tbl>
    <w:p w14:paraId="72AB2A3F" w14:textId="77777777" w:rsidR="009459DB" w:rsidRDefault="009459DB" w:rsidP="00DE0E0D"/>
    <w:sectPr w:rsidR="009459DB" w:rsidSect="00C16A32"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F5B0" w14:textId="77777777" w:rsidR="00427F9A" w:rsidRDefault="00427F9A" w:rsidP="00427F9A">
      <w:pPr>
        <w:spacing w:after="0"/>
      </w:pPr>
      <w:r>
        <w:separator/>
      </w:r>
    </w:p>
  </w:endnote>
  <w:endnote w:type="continuationSeparator" w:id="0">
    <w:p w14:paraId="761F672A" w14:textId="77777777" w:rsidR="00427F9A" w:rsidRDefault="00427F9A" w:rsidP="0042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2E86" w14:textId="77777777" w:rsidR="00427F9A" w:rsidRDefault="00004C1E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09CFA124" wp14:editId="7D6591F4">
          <wp:simplePos x="0" y="0"/>
          <wp:positionH relativeFrom="column">
            <wp:posOffset>998855</wp:posOffset>
          </wp:positionH>
          <wp:positionV relativeFrom="paragraph">
            <wp:posOffset>9895205</wp:posOffset>
          </wp:positionV>
          <wp:extent cx="5486400" cy="481965"/>
          <wp:effectExtent l="0" t="0" r="0" b="0"/>
          <wp:wrapTopAndBottom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9A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C9D4077" wp14:editId="77BEF4C3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73C0CD61" wp14:editId="4693FBD9">
          <wp:extent cx="5495290" cy="495300"/>
          <wp:effectExtent l="0" t="0" r="0" b="0"/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38C9" w14:textId="77777777" w:rsidR="00427F9A" w:rsidRDefault="00427F9A" w:rsidP="00427F9A">
      <w:pPr>
        <w:spacing w:after="0"/>
      </w:pPr>
      <w:r>
        <w:separator/>
      </w:r>
    </w:p>
  </w:footnote>
  <w:footnote w:type="continuationSeparator" w:id="0">
    <w:p w14:paraId="777D8189" w14:textId="77777777" w:rsidR="00427F9A" w:rsidRDefault="00427F9A" w:rsidP="00427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8786737">
    <w:abstractNumId w:val="11"/>
  </w:num>
  <w:num w:numId="2" w16cid:durableId="1414668705">
    <w:abstractNumId w:val="8"/>
  </w:num>
  <w:num w:numId="3" w16cid:durableId="83112499">
    <w:abstractNumId w:val="2"/>
  </w:num>
  <w:num w:numId="4" w16cid:durableId="1933706214">
    <w:abstractNumId w:val="10"/>
  </w:num>
  <w:num w:numId="5" w16cid:durableId="867063560">
    <w:abstractNumId w:val="17"/>
  </w:num>
  <w:num w:numId="6" w16cid:durableId="1758820865">
    <w:abstractNumId w:val="0"/>
  </w:num>
  <w:num w:numId="7" w16cid:durableId="1565530743">
    <w:abstractNumId w:val="9"/>
  </w:num>
  <w:num w:numId="8" w16cid:durableId="688022675">
    <w:abstractNumId w:val="1"/>
  </w:num>
  <w:num w:numId="9" w16cid:durableId="1380279119">
    <w:abstractNumId w:val="18"/>
  </w:num>
  <w:num w:numId="10" w16cid:durableId="1626545337">
    <w:abstractNumId w:val="12"/>
  </w:num>
  <w:num w:numId="11" w16cid:durableId="1969310216">
    <w:abstractNumId w:val="6"/>
  </w:num>
  <w:num w:numId="12" w16cid:durableId="1514105269">
    <w:abstractNumId w:val="13"/>
  </w:num>
  <w:num w:numId="13" w16cid:durableId="799226313">
    <w:abstractNumId w:val="16"/>
  </w:num>
  <w:num w:numId="14" w16cid:durableId="586619585">
    <w:abstractNumId w:val="15"/>
  </w:num>
  <w:num w:numId="15" w16cid:durableId="868494415">
    <w:abstractNumId w:val="3"/>
  </w:num>
  <w:num w:numId="16" w16cid:durableId="917518413">
    <w:abstractNumId w:val="14"/>
  </w:num>
  <w:num w:numId="17" w16cid:durableId="1368145085">
    <w:abstractNumId w:val="5"/>
  </w:num>
  <w:num w:numId="18" w16cid:durableId="1677029267">
    <w:abstractNumId w:val="4"/>
  </w:num>
  <w:num w:numId="19" w16cid:durableId="794566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54"/>
    <w:rsid w:val="00004C1E"/>
    <w:rsid w:val="001278BD"/>
    <w:rsid w:val="002A5019"/>
    <w:rsid w:val="0031706B"/>
    <w:rsid w:val="00427F9A"/>
    <w:rsid w:val="00654354"/>
    <w:rsid w:val="008B36BE"/>
    <w:rsid w:val="009459DB"/>
    <w:rsid w:val="009F3408"/>
    <w:rsid w:val="00A047A3"/>
    <w:rsid w:val="00B05824"/>
    <w:rsid w:val="00B12037"/>
    <w:rsid w:val="00C16A32"/>
    <w:rsid w:val="00DE0E0D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F55E17"/>
  <w15:chartTrackingRefBased/>
  <w15:docId w15:val="{60942085-874C-44B9-84AF-F5740FD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47A3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A047A3"/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a3">
    <w:name w:val="Body Text"/>
    <w:basedOn w:val="a"/>
    <w:link w:val="Char"/>
    <w:uiPriority w:val="99"/>
    <w:rsid w:val="00A047A3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A047A3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A047A3"/>
    <w:pPr>
      <w:spacing w:after="200"/>
      <w:ind w:left="720"/>
      <w:contextualSpacing/>
    </w:pPr>
  </w:style>
  <w:style w:type="paragraph" w:customStyle="1" w:styleId="Default">
    <w:name w:val="Default"/>
    <w:rsid w:val="00A047A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2">
    <w:name w:val="Body Text 2"/>
    <w:basedOn w:val="a"/>
    <w:link w:val="2Char"/>
    <w:uiPriority w:val="99"/>
    <w:semiHidden/>
    <w:unhideWhenUsed/>
    <w:rsid w:val="00A047A3"/>
    <w:pPr>
      <w:suppressAutoHyphens w:val="0"/>
      <w:spacing w:line="480" w:lineRule="auto"/>
      <w:jc w:val="left"/>
    </w:pPr>
    <w:rPr>
      <w:rFonts w:eastAsia="Calibri" w:cs="Times New Roman"/>
      <w:szCs w:val="22"/>
      <w:lang w:val="x-none" w:eastAsia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A047A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Char0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427F9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427F9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2T06:54:25.3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C14E-99D4-45B2-B6E9-5BD0FF29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8</cp:revision>
  <dcterms:created xsi:type="dcterms:W3CDTF">2022-02-23T10:44:00Z</dcterms:created>
  <dcterms:modified xsi:type="dcterms:W3CDTF">2023-03-22T06:54:00Z</dcterms:modified>
</cp:coreProperties>
</file>