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35" w:rsidRPr="00081D87" w:rsidRDefault="00365635" w:rsidP="0036563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323893369"/>
      <w:r w:rsidRPr="00081D87">
        <w:rPr>
          <w:rFonts w:ascii="Times New Roman" w:eastAsia="Times New Roman" w:hAnsi="Times New Roman"/>
          <w:b/>
          <w:sz w:val="20"/>
          <w:szCs w:val="20"/>
        </w:rPr>
        <w:t>ΠΑΡΑΡΤΗΜΑ Β</w:t>
      </w:r>
    </w:p>
    <w:p w:rsidR="00365635" w:rsidRPr="00081D87" w:rsidRDefault="00365635" w:rsidP="003656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16"/>
        <w:gridCol w:w="5387"/>
        <w:gridCol w:w="1417"/>
      </w:tblGrid>
      <w:tr w:rsidR="00365635" w:rsidRPr="00C2628B" w:rsidTr="000644B6">
        <w:trPr>
          <w:trHeight w:val="623"/>
        </w:trPr>
        <w:tc>
          <w:tcPr>
            <w:tcW w:w="8613" w:type="dxa"/>
            <w:gridSpan w:val="4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ΤΜΗΜΑ  1:  ΕΡΓΑΣΤΗΡΙΑΚΑ ΧΗΜΙΚΑ, ΠΛΑΣΤΙΚΑ &amp; ΓΥΑΛΙΝΑ ΑΝΑΛΩΣΙΜΑ ΚΑΙ ΥΛΙΚΑ ΚΑΛΛΙΕΡΓΕΙΑΣ ΜΙΚΡΟΟΡΓΑΝΙΣΜΩΝ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ΠΡΟΔΙΑΓΡΑΦΕΣ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Τρυβλία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μεγάλα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Τρυβλία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από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πολυστηρένιο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, ανθεκτικά στη θερμότητα έως 80</w:t>
            </w:r>
            <w:r w:rsidRPr="00C2628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el-GR"/>
              </w:rPr>
              <w:t>o</w:t>
            </w: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C, διαμέτρου 92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mm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ύψους 16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mm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, αποστειρωμένα μηχανικά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4 πακέτα των 480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Τρυβλία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μικρά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Τρυβλία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από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πολυστηρένιο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, ανθεκτικά στη θερμότητα έως 80</w:t>
            </w:r>
            <w:r w:rsidRPr="00C2628B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el-GR"/>
              </w:rPr>
              <w:t>0</w:t>
            </w: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C, διαμέτρου 55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mm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ύψους 14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mm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, αποστειρωμένα μηχανικά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πακέτα των 1200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Κρίκοι εμβολιασμού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Πλαστικοί αποστειρωμένοι κρίκοι εμβολιασμού, με ένα άκρο 10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μL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100 πακέτα των 10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Κωνικές φιάλες 1000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Κωνικές φιάλες 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βοριοπυριτικού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3,3 γυαλιού  1000mL, με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4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Κωνικές φιάλες 500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Κωνικές φιάλες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βοριοπυριτικού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3,3 γυαλιού 500mL, με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5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Κωνικές φιάλες 100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Κωνικές φιάλες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βοριοπυριτικού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3,3 γυαλιού  100mL, με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10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Ογκομετρικοί κύλινδροι 250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Ογκομετρικοί κύλινδροι, από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βοριοπυριτικό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3,3 γυαλί των 250mL, με γυάλινη εξαγωνική βάση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Ογκομετρικοί κύλινδροι 100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Ογκομετρικός κύλινδρος, από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βοριοπυριτικό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3,3 γυαλί των 100mL, με γυάλινη εξαγωνική βάση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5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Ογκομετρικοί κύλινδροι 50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Ογκομετρικός κύλινδρος, από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βοριοπυριτικό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3,3 γυαλί των 50mL, με γυάλινη εξαγωνική βάση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Γυάλινα μπουκάλια 1000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Μπουκάλια από καθαρό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βοριοπυριτικό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3,3 γυαλί,  των 1000mL, με βιδωτό πλαστικό καπάκι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5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Γυάλινα μπουκάλια 500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Μπουκάλια από καθαρό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βοριοπυριτικό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3,3 γυαλί,  των 500mL, με βιδωτό πλαστικό καπάκι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5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Γυάλινα μπουκάλια 250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Μπουκάλι από καθαρό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βοριοπυριτικό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3,3 γυαλί,  των 250mL, με βιδωτό πλαστικό καπάκι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Γυάλινα δοχεία ζέσεως 1000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Γυάλινα δοχεία ζέσεως από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βοριοπυριτικό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3,3 γυαλί, 1000mL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Γυάλινα δοχεία ζέσεως 500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Γυάλινα δοχεία ζέσεως από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βοριοπυριτικό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3,3 γυαλί, 500mL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5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Γυάλινα δοχεία ζέσεως 200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Γυάλινα δοχεία ζέσεως από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βοριοπυριτικό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3,3 γυαλί, 250mL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5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Πλαστικοί σωλήνες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φυγοκέντρησης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50mL 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Πλαστικοί διαφανείς σωλήνες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φυγοκέντρησης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με βιδωτό πλαστικό καπάκι, κωνική βάση, όγκου 50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, αποστειρωμένοι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4 πακέτα των 50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Πλαστικοί σωλήνες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φυγοκέντρησης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15mL 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Πλαστικοί διαφανείς σωλήνες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φυγοκέντρησης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με βιδωτό πλαστικό καπάκι, κωνική βάση, όγκου 15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, αποστειρωμένοι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4 πακέτα των 50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18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TUBES 1.5mL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Μικρο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φυγοκεντρικά πλαστικά, διαφανή σωληνάρια 1.5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, μη αποστειρωμένα με επίπεδο καπάκι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πακέτα των 500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TUBES 2mL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Μικρο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φυγοκεντρικά πλαστικά,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διαγανή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σωληνάρια 2,0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,  μη αποστειρωμένα με επίπεδο καπάκι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3 πακέτα των 500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ΡΥΓΧΗ  1000μL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Πλαστικά ρύγχη 1000 µL, συμβατά  με διάφορα είδη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πιπετών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Eppendorf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Gilson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Biohit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Socorex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Finnpipette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Brand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πακέτα των 500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ΡΥΓΧΗ  200μL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Πλαστικά ρύγχη 200 µL, συμβατά  με διάφορα είδη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πιπετών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Eppendorf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Gilson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Biohit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Socorex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Finnpipette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Brand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πακέτα των 1000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ΡΥΓΧΗ EPPENDORF 1000μL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Πλαστικά ρύγχη 50-1000 µL, συμβατά μόνο με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πιπέτες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Eppendorf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πακέτο των 1000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ΡΥΓΧΗ EPPENDORF 200μL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Πλαστικά ρύγχη 2-200 µL, συμβατά  μόνο με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πιπέτες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Eppendorf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πακέτα των 1000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ΡΥΓΧΗ EPPENDORF 10μL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Πλαστικά ρύγχη 0.1-10 µL, συμβατά μόνο με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πιπέτες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Eppendorf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και δυνατότητα αποστείρωσης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πακέτα των 1000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Πλακέτες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μικροτιτλοδότησης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Πλακέτες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μικροτιτλοδότησης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96 θέσεων με καπάκι, αποστειρωμένες και επίπεδο πυθμένα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3 πακέτα των 50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Φίλτρα κυτταρίνης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Φίλτρα κυτταρίνης, αποστειρωμένα, με 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διαμετρο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47mm  και μέγεθος πόρων 0.45μm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10 πακέτα των 100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Φίλτρα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σύριγκας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, 0.45μm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Φίλτρα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σύριγκας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διαμέτρου 25mm  και μέγεθος πόρων 0.45μm, αποστειρωμένα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πακέτο των 50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Φίλτρα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σύριγκας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,   0.2μm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Φίλτρα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σύριγκας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διαμέτρου 25mm  και μέγεθος πόρων 0.2μm, αποστειρωμένα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πακέτο των 50 τεμαχίων</w:t>
            </w:r>
          </w:p>
        </w:tc>
      </w:tr>
      <w:tr w:rsidR="00365635" w:rsidRPr="00C2628B" w:rsidTr="000644B6">
        <w:trPr>
          <w:trHeight w:val="998"/>
        </w:trPr>
        <w:tc>
          <w:tcPr>
            <w:tcW w:w="393" w:type="dxa"/>
            <w:shd w:val="clear" w:color="000000" w:fill="FFFFFF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Σωλήνες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φυγοκέντρησης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(15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) με φίλτρο κυτταρίνης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Σωλήνες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φυγοκέντρησης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(15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) με φίλτρο κυτταρίνης για τη συγκέντρωση και τον καθαρισμό βιολογικών δειγμάτων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πακέτο των 8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Αναροφητήρας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με ροδέλα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Αναροφητήρας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με ροδέλα όγκου μέχρι 10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 τεμάχια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Γλυκερόλη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γλυκερόλη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(άνυδρη) 99.5%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του 1 λίτρου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Αιθανόλη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καθαρή αιθανόλη 99.8%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2.5 λίτρων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Αιθανόλη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καθαρή αιθανόλη μετουσιωμένη με 0.5-1.5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Vol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.% 2-βουτανόνη &amp; περίπου 0.001%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Bitrex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(GC), ≥98% (GC)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2.5 λίτρων</w:t>
            </w:r>
          </w:p>
        </w:tc>
      </w:tr>
      <w:tr w:rsidR="00365635" w:rsidRPr="00C2628B" w:rsidTr="000644B6">
        <w:trPr>
          <w:trHeight w:val="938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2.3.5-TRIPHENYLTETRAZOLIUM CHLORIDE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2,3,5-Triphenyltetrazolium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chloride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- ≥98.0% (HPLC)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Πεπτόνη σόγιας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Πεπτόνη σόγιας (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Soy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peptone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500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Nutrient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Agar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Nutrient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agar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(μη εκλεκτικό στερεό θρεπτικό υλικό για καλλιέργεια βακτηρίων)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500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37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Nutrient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broth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Θρεπτικός μη εκλεκτικός ζωμός για την ανάπτυξη μικροοργανισμών (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nutrient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broth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500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 xml:space="preserve">Hicrom </w:t>
            </w: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άγαρ</w:t>
            </w:r>
            <w:r w:rsidRPr="00C2628B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 xml:space="preserve"> (</w:t>
            </w: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Ε</w:t>
            </w:r>
            <w:r w:rsidRPr="00C2628B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.coli selective agar)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Εκλεκτικό θρεπτικό υλικό για την απομόνωση &amp; καλλιέργεια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E.coli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από δείγματα νερού/αποβλήτων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500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Slanetz-Bartley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άγαρ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Slanetz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Bartley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άγαρ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για την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καλιιέργεια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εντερόκοκκων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500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Bile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aesculin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άγαρ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Άγαρ για την ταυτοποίηση εντεροκόκκων κοπρανώδους προέλευσης (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Bile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aesculin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agar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500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Mannitol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agar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Άγαρ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μανιτόλης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500 γραμμαρίων</w:t>
            </w:r>
          </w:p>
        </w:tc>
      </w:tr>
      <w:tr w:rsidR="00365635" w:rsidRPr="00C2628B" w:rsidTr="000644B6">
        <w:trPr>
          <w:trHeight w:val="1200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Klebsiella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pneumoniae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selective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agar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Εκλεκτικό θρεπτικό υλικό  για την απομόνωση και καλλιέργεια το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βακτήριου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Klebsiella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pneumoniae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που περιέχει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Peptone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12.0g/L -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Yeast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extract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7.0g/L -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Sodium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chloride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5.0g/L -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Bile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salts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mixture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1.5g/L -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Sodium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lauryl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sulphate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(SLS) 0.1g/L -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Chromogenic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mixture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0.2g/L -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Agar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15.0g/L -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Final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pH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at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25°C) 7.1±0.2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500 γραμμαρίων</w:t>
            </w:r>
          </w:p>
        </w:tc>
      </w:tr>
      <w:tr w:rsidR="00365635" w:rsidRPr="00C2628B" w:rsidTr="000644B6">
        <w:trPr>
          <w:trHeight w:val="649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Klebsiella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Selective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Supplement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Συσκευασία 5 φιαλιδίων με συμπλήρωμα για την παρασκευή βάσης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άγαρ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για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Klebsiella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pneumoniae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5 αμπούλες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Pseudomonas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Selective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Supplement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Συσκευασία 10 φιαλιδίων με συμπλήρωμα για την παρασκευή βάσης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άγαρ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ψευδομονάδας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τα οποία να περιέχουν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κεφαλοθίνη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φουσιδίνη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κετριμίδη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10 αμπούλες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Muller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Hinton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broth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Ζωμός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Muller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Hinton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500 g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AMPICILLIN (σκόνη)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Αντιβιοτικό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αμπικιλλίνη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AMOXYCILIN (σκόνη)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Αντιβιοτικό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αμοξικιλλίνη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(96%)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1 γραμμαρίου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CIPROFLOXACIN (σκόνη)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Αντιβιοτικό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σιπροφλοξασίνη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(96%)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TETRACYCLIN (σκόνη)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Αντιβιοτικό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τετρακυκλίνη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(98%)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5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TRIMETHOPRIΜ (σκόνη)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Αντιβιοτικό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τριμεθοπρίμη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του 1 γραμμαρίου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Potasium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iodite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Ιωδικούχο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κάλιο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τεμάχιο των 100 γραμμαρίων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8613" w:type="dxa"/>
            <w:gridSpan w:val="4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ΤΜΗΜΑ 2:  ΚΙΤ ΕΚΤΙΜΗΣΗΣ ΟΙΚΟΤΟΞΙΚΟΤΗΤΑΣ ΚΑΤΑ ISO 6341:2012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ΠΡΟΔΙΑΓΡΑΦΕΣ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</w:tr>
      <w:tr w:rsidR="00365635" w:rsidRPr="00C2628B" w:rsidTr="000644B6">
        <w:trPr>
          <w:trHeight w:val="1560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Σετ μέτρησης τοξικότητας με το καρκινοειδές του γλυκού νερού </w:t>
            </w:r>
            <w:proofErr w:type="spellStart"/>
            <w:r w:rsidRPr="00C2628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l-GR"/>
              </w:rPr>
              <w:t>Daphnia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l-GR"/>
              </w:rPr>
              <w:t>magna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Το σετ να διαθέτει τους οργανισμούς </w:t>
            </w:r>
            <w:proofErr w:type="spellStart"/>
            <w:r w:rsidRPr="00C2628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l-GR"/>
              </w:rPr>
              <w:t>Daphnia</w:t>
            </w:r>
            <w:proofErr w:type="spellEnd"/>
            <w:r w:rsidRPr="00C2628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l-GR"/>
              </w:rPr>
              <w:t>magna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σε εφίππια, από τα οποία να προκύπτουν οι ζωντανοί οργανισμοί μετά από επώαση. Το σετ να περιλαμβάνει τουλάχιστον 6 σωληνάρια με εφίππια, συμπυκνωμένα διαλύματα για την παρασκευή 2 L πρότυπου νερού κατά ISO 6341:2012, πλαστικές κυψελίδες και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μικροσιφώνια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για τον προσδιορισμό της συγκέντρωσης EC50 έξι δειγμάτων με τουλάχιστον 5 αραιώσεις.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65635" w:rsidRPr="00C2628B" w:rsidTr="000644B6">
        <w:trPr>
          <w:trHeight w:val="623"/>
        </w:trPr>
        <w:tc>
          <w:tcPr>
            <w:tcW w:w="8613" w:type="dxa"/>
            <w:gridSpan w:val="4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ΤΜΗΜΑ 3:  ΑΝΑΛΩΣΙΜΑ ΜΟΡΙΑΚΗΣ ΒΙΟΛΟΓΙΑΣ</w:t>
            </w:r>
          </w:p>
        </w:tc>
      </w:tr>
      <w:tr w:rsidR="00365635" w:rsidRPr="00C2628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ΠΡΟΔΙΑΓΡΑΦΕΣ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</w:tr>
      <w:tr w:rsidR="00365635" w:rsidRPr="00C2628B" w:rsidTr="000644B6">
        <w:trPr>
          <w:trHeight w:val="3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Κιτ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για απομόνωση DNA από διάφορους τύπους λυμάτων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Κιτ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για απομόνωση DNA από διάφορους τύπους λύματος.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χρησιμοποιεί τεχνολογία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Silica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Membrane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με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spin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columns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παρέχει DNA με τυπική απόδοση 2-10μg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Ο όγκος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έκλουσης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να είναι 30-100μL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Η διαδικασία να επιτυγχάνεται σε λιγότερο από 90 λεπτά.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Η συσκευασία να περιλαμβάνει δύο διαφορετικά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lysis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enhancer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για την βέλτιστη χρήση ανάλογα με το δείγμα, στήλες με κεραμικά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beads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για την πιο αποτελεσματική λύση των κυττάρων και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inhibitor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removal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columns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για την ελαχιστοποίηση των PCR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inhibitors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παρέχει DNA έτοιμο προς χρήση, κατάλληλο για τις συνήθεις εφαρμογές, PCR,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qPCR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southern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blotting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περιλαμβάνει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Lysis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SL1,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Lysis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SL2,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Lysis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SL3,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Enhancer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SX,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Binding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SB,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Wash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SW1,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Wash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SW2,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Elution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SE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Nα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διατίθεται σε συσκευασία των 250 απομονώσεων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 συσκευασία για 250 απομονώσεις</w:t>
            </w:r>
          </w:p>
        </w:tc>
      </w:tr>
      <w:tr w:rsidR="00365635" w:rsidRPr="00C2628B" w:rsidTr="000644B6">
        <w:trPr>
          <w:trHeight w:val="440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Κιτ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απομόνωσης DNA από αντίδραση PCR ή πήκτωμα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αγαρόζης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Καθαρισμός PCR προϊόντος και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gel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extraction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να επιτυγχάνονται με το ίδιο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kit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χρησιμοποιώντας το ίδιο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Η διαδικασία να επιτυγχάνεται σε λιγότερο από 15 λεπτά.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παρέχει υψηλή ανάκτηση DNA ακόμα και από πολύ μικρά κομμάτια (&gt;65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bp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).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επιτυγχάνεται πλήρης απομάκρυνση των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primers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είναι δυνατοί μικροί όγκοι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έκλουσης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(μικρότεροι από 20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) και μέχρι 100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χρησιμοποιεί τεχνολογία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Silica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Membrane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με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spin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columns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παρέχει DNA έτοιμο προς χρήση, κατάλληλο για κλωνοποίηση,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sequencing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PCR,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transformation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restriction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analysis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είναι δυνατή η απομόνωση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ssDNA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και SDS-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containing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samples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περιλαμβάνει διάλυμα δέσμευσης του DNA με δείκτη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pH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για βέλτιστη απόδοση του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kit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περιλαμβάνει κολόνες, και όλα τα απαραίτητα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είναι κατάλληλο και για χρήση με συσκευή κενού (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vacuum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manifold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)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Nα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διατίθεται σε συσκευασία των 250 καθαρισμών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 συσκευασία για 250 καθαρισμούς</w:t>
            </w:r>
          </w:p>
        </w:tc>
      </w:tr>
      <w:tr w:rsidR="00365635" w:rsidRPr="00C2628B" w:rsidTr="000644B6">
        <w:trPr>
          <w:trHeight w:val="3732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lastRenderedPageBreak/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Real Time PCR mix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με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 SYBR Green, ABI Prism,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για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 1000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αντιδράσεις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Να εξασφαλίζει την υψηλότερη δυνατή απόδοση, ευαισθησία και ταχύτητα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έχει μεγάλο εύρος και γραμμικότητα.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Το SYBR 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qPCR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Master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Mix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να περιέχει αυξημένη βελτιστοποιημένη συγκέντρωση της φθορίζουσας χρωστικής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SYBRGreen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I. H αυξημένη ένταση του σήματος να είναι αποτέλεσμα της αυξημένης ανοχής της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πολυμεράσης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στην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SYBRGreen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I, ώστε να είναι κατάλληλο για ανίχνευση έκφρασης γονιδίων που υπάρχουν σε πολύ χαμηλά αντίγραφα.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Nα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περιλαμβάνει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hot-start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πολυμεράση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με αντίσωμα, SYBR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Green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fluorescent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dye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MgCl2,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dNTPs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και σταθεροποιητές (2Χ).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Στη συσκευασία να περιλαμβάνεται ξεχωριστά χρωστική αναφοράς ROX.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H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xρήση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ΗΠΑ: 5.994.056, 6.171.785, και 5.928.907 (αριθμοί αξίωσης 12-24, 27-28).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 συσκευασία για 1000 αντιδράσεις</w:t>
            </w:r>
          </w:p>
        </w:tc>
      </w:tr>
      <w:tr w:rsidR="00365635" w:rsidRPr="00C2628B" w:rsidTr="000644B6">
        <w:trPr>
          <w:trHeight w:val="2352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Προπαρασκευασμένο μείγμα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πολυμεράσης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τεχνολογίας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Hot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Start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κατάλληλης για πολλαπλασιασμό δύσκολων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templates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Να είναι προπαρασκευασμένο μείγμα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πολυμεράσης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τεχνολογίας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Hot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Start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κατάλληλης για πολλαπλασιασμό δύσκολων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templates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είναι μίγμα 2Χ και να περιέχει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Optima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DNA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Polymerase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blend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(0,2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units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ανά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αντίδρασης),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Optima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Buffer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(1X),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dNTPs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(0.4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για κάθε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dNTP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σε 1X), MgCl2 (4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σε 1X), σταθεροποιητές και δύο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tracking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dyes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είναι κατάλληλο για την ενίσχυση θραυσμάτων &gt;65% GC και μεγέθους μέχρι 10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kb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με απλό πρωτόκολλο.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δίνει προϊόντα PCR που να μπορούν να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κλωνοποιηθούν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σε ΤΑ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vectors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Η συσκευασία να είναι αρκετή για 500 αντιδράσεις.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 συσκευασία για 500 αντιδράσεις</w:t>
            </w:r>
          </w:p>
        </w:tc>
      </w:tr>
      <w:tr w:rsidR="00365635" w:rsidRPr="00C2628B" w:rsidTr="000644B6">
        <w:trPr>
          <w:trHeight w:val="1092"/>
        </w:trPr>
        <w:tc>
          <w:tcPr>
            <w:tcW w:w="393" w:type="dxa"/>
            <w:shd w:val="clear" w:color="000000" w:fill="FFFFFF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Αγαρόζη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Αγαρόζη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Να διαλύεται εύκολα και να δημιουργεί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γέλη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σε σύντομο χρόνο. Απαλλαγμένη από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DNAses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RNAses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Σε συσκευασία των 500g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 συσκευασία 500g</w:t>
            </w:r>
          </w:p>
        </w:tc>
      </w:tr>
      <w:tr w:rsidR="00365635" w:rsidRPr="00C2628B" w:rsidTr="000644B6">
        <w:trPr>
          <w:trHeight w:val="3312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Χρωστική μη τοξική για χρώση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νουκλεϊκών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οξεών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σε πηκτώματα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αγαρόζης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Χρωστική μη τοξική για χρώση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νουκλεϊκών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οξεών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σε πηκτώματα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αγαρόζης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μην είναι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μεταλλαξιογόνος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είναι λιγότερο τοξική.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διατηρείται σε θερμοκρασία δωματίου.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μπορεί να χρησιμοποιηθεί για τη χρώση του πηκτώματος είτε με την ενσωμάτωση του σε αυτό κατά την παρασκευή του πριν την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ηλεκτροφόρηση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είτε με τη χρώση του πηκτώματος μέσω της εμβάπτισης σε διάλυμα της χρωστικής μετά την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ηλεκτροφόρηση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έχει τουλάχιστον την ίδια ευαισθησία με το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βρωμιούχο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αιθίδιο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μπορεί να χρησιμοποιηθεί με τον ίδιο εξοπλισμό (υπεριώδη πηγή διέγερσης, σύστημα φωτογράφησης) που χρησιμοποιείται και το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βρωμιούχο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αιθίδιο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καθώς και εξοπλισμό βασισμένο στην τεχνολογία LED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lastRenderedPageBreak/>
              <w:br/>
              <w:t xml:space="preserve">Να διατίθεται σε συσκευασία του 1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lastRenderedPageBreak/>
              <w:t xml:space="preserve">1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365635" w:rsidRPr="00C2628B" w:rsidTr="000644B6">
        <w:trPr>
          <w:trHeight w:val="2232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100bp δείκτης μοριακών βαρών DNA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100bp δείκτης μοριακών βαρών DNA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περιέχει 12 ζώνες και να  καλύπτει την περιοχή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100 – 3000bp.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περιλαμβάνει 2 έντονες ζώνες αναφοράς στα 500bp και 1500bp. 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είναι έτοιμος προς χρήση για απευθείας φόρτωση στα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gels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περιέχει δύο χρωστικές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orange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G &amp;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xylene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cyanol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FF ως χρωστικές παρακολούθησης (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tracking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dyes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).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επαρκεί για 100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minigels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 συσκευασία των 50μg</w:t>
            </w:r>
          </w:p>
        </w:tc>
      </w:tr>
      <w:tr w:rsidR="00365635" w:rsidRPr="00C2628B" w:rsidTr="000644B6">
        <w:trPr>
          <w:trHeight w:val="1932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Σύνθεση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ολιγονουκλεοτιδίων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εκκινητών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σε ποσότητα 0.05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μmol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το καθένα, καθαρισμένα με HPLC.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Σύνθεση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ολιγονουκλεοτιδίων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-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εκκινητών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σε ποσότητα 0.05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μmol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το καθένα, καθαρισμένα με HPLC.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Η απόδοση σε OD260 να είναι περίπου 4.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αποστέλλονται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λυοφιλοποιημένα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ή σε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aliquots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προκαθορισμένης συγκέντρωσης.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Η ποιότητα και η ταυτότητα του κάθε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ολιγονουκλεοτιδίου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να ελέγχεται με MALDI-TOF MS και με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capillary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gel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electrophoresis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(CGE).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δίνεται τιμή ανά βάση.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Ολιγονουκλεοτίδια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με συνολικό αριθμό βάσεων 120 (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bp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365635" w:rsidRPr="00C2628B" w:rsidTr="000644B6">
        <w:trPr>
          <w:trHeight w:val="1538"/>
        </w:trPr>
        <w:tc>
          <w:tcPr>
            <w:tcW w:w="393" w:type="dxa"/>
            <w:shd w:val="clear" w:color="000000" w:fill="FFFFFF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96-well PCR plates, 0,2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>l, semi skirted (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κατάλληλα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για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 ABI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>StepOne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 Plus)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96-well PCR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plates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0,2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μl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semi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skirted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αποτελούνται από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δύo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συστατικά (2-component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technology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) για αύξηση της θερμικής σταθερότητας σε υψηλές θερμοκρασίες και αποτελεσματική ελαχιστοποίηση της εξάτμισης.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 Να είναι κατάλληλα για ABI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StepOne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Plus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. Να διατίθενται σε συσκευασία 50 τεμαχίων.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3 συσκευασίες των 50 τεμαχίων</w:t>
            </w:r>
          </w:p>
        </w:tc>
      </w:tr>
      <w:tr w:rsidR="00365635" w:rsidRPr="00C2628B" w:rsidTr="000644B6">
        <w:trPr>
          <w:trHeight w:val="146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Αυτοκόλλητα για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plates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(για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qPCR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Αυτοκόλλητα για κλείσιμο των PCR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plates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κατάλληλα για Real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Time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PCR με διαστάσεις 135 x 80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διαθέτουν ισχυρές συγκολλητικές ιδιότητες.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φέρουν διακριτά οπτικά παράθυρα για πλάκες 96-wells, χωρίς κόλλα στα οπτικά παράθυρα.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διατίθενται σε συσκευασία των 100 τεμαχίων.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2 συσκευασίες των 100 τεμαχίων</w:t>
            </w:r>
          </w:p>
        </w:tc>
      </w:tr>
      <w:tr w:rsidR="00365635" w:rsidRPr="00C2628B" w:rsidTr="000644B6">
        <w:trPr>
          <w:trHeight w:val="3529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lastRenderedPageBreak/>
              <w:t>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Σωληνάρια για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real-time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PCR συμβατά με τον εξοπλισμό STEP-ONE PLUS όγκου 0,1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με πολύ λεπτά τοιχώματα σε οκτάδες (8-strip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tubes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) και καπάκια για τα σωληνάρια σε οκτάδες (8-strip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caps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Σωληνάρια για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real-time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PCR συμβατά με τον εξοπλισμό STEP-ONE PLUS όγκου 0,1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με πολύ λεπτά τοιχώματα σε οκτάδες (8-strip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tubes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).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είναι  ελεύθερα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DNAse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RNAse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human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gDNA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μην επιτρέπουν εξάτμιση, ώστε να είναι κατάλληλα για μικρούς όγκους αντιδράσεων PCR.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είναι οπτικά διαυγή και κατάλληλα για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qPCR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έχουν ειδική επιφάνεια για σημειώσεις.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περνάνε από αυστηρό ποιοτικό έλεγχο και να υπάρχει μεγάλη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επαναληψιμότητα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μεταξύ των παρτίδων.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είναι από καθαρό πολυπροπυλένιο και να μην προσδένονται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πρωτεϊνες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 στην επιφάνεια τους.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>Να έχουν πολύ λεπτά τοιχώματα.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διατίθενται σε συσκευασία 120 οκτάδων (120 x 8-strip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tubes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)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br/>
              <w:t xml:space="preserve">Να περιέχονται καπάκια για αυτά τα σωληνάρια σε οκτάδες (120 x 8-strip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caps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2 συσκευασίες των 120 οκτάδων μαζί με τα καπάκια τους</w:t>
            </w:r>
          </w:p>
        </w:tc>
      </w:tr>
      <w:tr w:rsidR="00365635" w:rsidRPr="00095D9B" w:rsidTr="000644B6">
        <w:trPr>
          <w:trHeight w:val="1729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Σωληνάρια για PCR , όγκου 0,2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, με πολύ λεπτά τοιχώματα και με επίπεδο καπάκι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 xml:space="preserve">Σωληνάρια για PCR , όγκου 0,2 </w:t>
            </w:r>
            <w:proofErr w:type="spellStart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mL</w:t>
            </w:r>
            <w:proofErr w:type="spellEnd"/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, με πολύ λεπτά τοιχώματα και με επίπεδο καπάκι. Να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είναι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ελεύθερα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 xml:space="preserve"> DNase, RNase, pyrogen , lubricants, dyes, heavy metals . </w:t>
            </w: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Να διατίθενται σε συσκευασία των 1000 τεμαχίων.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 συσκευασία των 1000 τεμαχίων</w:t>
            </w:r>
          </w:p>
        </w:tc>
      </w:tr>
      <w:tr w:rsidR="00365635" w:rsidRPr="00C2628B" w:rsidTr="000644B6">
        <w:trPr>
          <w:trHeight w:val="623"/>
        </w:trPr>
        <w:tc>
          <w:tcPr>
            <w:tcW w:w="8613" w:type="dxa"/>
            <w:gridSpan w:val="4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ΤΜΗΜΑ 4:  ΚΙΤ ΚΑΙ ΧΗΜΙΚΑ ΑΝΤΙΔΡΑΣΤΗΡΙΑ ΒΙΟΧΗΜΙΚΗΣ ΤΑΥΤΟΠΟΊΗΣΗΣ ΜΙΚΡΟΟΡΓΑΝΙΣΜΩΝ</w:t>
            </w:r>
          </w:p>
        </w:tc>
      </w:tr>
      <w:tr w:rsidR="00365635" w:rsidRPr="00095D9B" w:rsidTr="000644B6">
        <w:trPr>
          <w:trHeight w:val="623"/>
        </w:trPr>
        <w:tc>
          <w:tcPr>
            <w:tcW w:w="393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ΠΡΟΔΙΑΓΡΑΦΕΣ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</w:tr>
      <w:tr w:rsidR="00365635" w:rsidRPr="00095D9B" w:rsidTr="000644B6">
        <w:trPr>
          <w:trHeight w:val="1163"/>
        </w:trPr>
        <w:tc>
          <w:tcPr>
            <w:tcW w:w="393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Strips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βιοχημικών τεστ ταυτοποίησης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εντεροβακτηρίων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Κιτ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ταυτοποίησης των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Εντεροβακτηριακών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και μη απαιτητικών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Gram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(-) μικροβίων με 20 βιοχημικά υποστρώματα. Απαραίτητο να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ταυτοποιεί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συνολικά 104 διαφορετικά βακτήρια.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συσκευασία των 25 τεστ</w:t>
            </w:r>
          </w:p>
        </w:tc>
      </w:tr>
      <w:tr w:rsidR="00365635" w:rsidRPr="00095D9B" w:rsidTr="000644B6">
        <w:trPr>
          <w:trHeight w:val="1620"/>
        </w:trPr>
        <w:tc>
          <w:tcPr>
            <w:tcW w:w="393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Αντιδραστήρια για τη χρήση των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strips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βιοχημικών τεστ ταυτοποίησης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εντεροβακτηρίων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Κιτ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που να περιέχει τα αντιδραστήρια TDA, INDOLE, VP1, VP2, NIT1 &amp; NIT2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συσκευασία</w:t>
            </w:r>
          </w:p>
        </w:tc>
      </w:tr>
      <w:tr w:rsidR="00365635" w:rsidRPr="00095D9B" w:rsidTr="000644B6">
        <w:trPr>
          <w:trHeight w:val="863"/>
        </w:trPr>
        <w:tc>
          <w:tcPr>
            <w:tcW w:w="393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Αντιδραστήριο ψευδαργύρου ZN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Αντιδραστήριο ΖΝ για την ταυτοποίηση των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εντεροβακτηρίων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με τα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strps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βιοχημικής ταυτοποίησης, επαρκούς ποσότητας για 50 τεστ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2Χ10g</w:t>
            </w:r>
          </w:p>
        </w:tc>
      </w:tr>
      <w:tr w:rsidR="00365635" w:rsidRPr="00095D9B" w:rsidTr="000644B6">
        <w:trPr>
          <w:trHeight w:val="780"/>
        </w:trPr>
        <w:tc>
          <w:tcPr>
            <w:tcW w:w="393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Παραφίνη (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mineral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oil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)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Παραφίνη (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mineral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oil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) ως πρόσθετο αντιδραστήριο για την ταυτοποίηση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εντεροβακτηρίων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με τα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strips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βιοχημικής ταυτοποίησης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125mL</w:t>
            </w:r>
          </w:p>
        </w:tc>
      </w:tr>
      <w:tr w:rsidR="00365635" w:rsidRPr="00095D9B" w:rsidTr="000644B6">
        <w:trPr>
          <w:trHeight w:val="1080"/>
        </w:trPr>
        <w:tc>
          <w:tcPr>
            <w:tcW w:w="393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lastRenderedPageBreak/>
              <w:t>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Strips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βιοχημικών τεστ ταυτοποίησης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Σταφυλοκόκκων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Κιτ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ταυτοποίησης των GRAM θετικών κόκκων που ανήκουν στα γένη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Staphylococcus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Micrococcus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. Απαραίτητο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γιά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την ταυτοποίηση 23  στελεχών χρησιμοποιώντας 20 βιοχημικά υποστρώματα.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συσκευασία των 25 τεστ</w:t>
            </w:r>
          </w:p>
        </w:tc>
      </w:tr>
      <w:tr w:rsidR="00365635" w:rsidRPr="00095D9B" w:rsidTr="000644B6">
        <w:trPr>
          <w:trHeight w:val="1658"/>
        </w:trPr>
        <w:tc>
          <w:tcPr>
            <w:tcW w:w="393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Αντιδραστήριο (ZYM A) για τη χρήση των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strips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βιοχημικών τεστ ταυτοποίησης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Σταφυλοκόκκων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Αντιδραστήριο ZYM A για την ταυτοποίηση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Σταφυλοκόκκων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με τα αντίστοιχα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strps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βιοχημικής ταυτοποίησης, επαρκούς ποσότητας για 400 τεστ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συσκευασία επαρκούς ποσότητας για 400 τεστ</w:t>
            </w:r>
          </w:p>
        </w:tc>
      </w:tr>
      <w:tr w:rsidR="00365635" w:rsidRPr="00095D9B" w:rsidTr="000644B6">
        <w:trPr>
          <w:trHeight w:val="1658"/>
        </w:trPr>
        <w:tc>
          <w:tcPr>
            <w:tcW w:w="393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Αντιδραστήριο (ZYM B) για τη χρήση των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strips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βιοχημικών τεστ ταυτοποίησης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Σταφυλοκόκκων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Αντιδραστήριο ZYM B για την ταυτοποίηση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Σταφυλοκόκκων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με τα αντίστοιχα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strps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βιοχημικής ταυτοποίησης, επαρκούς ποσότητας για 400 τεστ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1 συσκευασία επαρκούς ποσότητας για 400 τεστ</w:t>
            </w:r>
          </w:p>
        </w:tc>
      </w:tr>
      <w:tr w:rsidR="00365635" w:rsidRPr="00095D9B" w:rsidTr="000644B6">
        <w:trPr>
          <w:trHeight w:val="840"/>
        </w:trPr>
        <w:tc>
          <w:tcPr>
            <w:tcW w:w="393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Tεστ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Καταλάσης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Τεστ CATALASE έτσι ώστε να φανεί η παρουσία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καταλάσης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που ανιχνεύεται σε μικροοργανισμούς μέσω της απελευθέρωσης οξυγόνου από υπεροξείδιο του υδρογόνου.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10mL</w:t>
            </w:r>
          </w:p>
        </w:tc>
      </w:tr>
      <w:tr w:rsidR="00365635" w:rsidRPr="00095D9B" w:rsidTr="000644B6">
        <w:trPr>
          <w:trHeight w:val="1883"/>
        </w:trPr>
        <w:tc>
          <w:tcPr>
            <w:tcW w:w="393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Άδεια πρόσβασης σε βάση δεδομένων για την ταυτοποίηση μικροοργανισμών βάσει του βιοχημικού τους προφίλ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Άδεια για την σύνδεση μέσω Διαδικτύου με  ειδικό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site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, που να επιτρέπει την επεξεργασία και αξιολόγηση όλων των αποτελεσμάτων βιοχημικής ταυτοποίησης μικροοργανισμών μέσω μίας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up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to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date</w:t>
            </w:r>
            <w:proofErr w:type="spellEnd"/>
            <w:r w:rsidRPr="00C2628B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βάσης δεδομένων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635" w:rsidRPr="00C2628B" w:rsidRDefault="00365635" w:rsidP="00064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</w:pPr>
            <w:r w:rsidRPr="00C262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bookmarkEnd w:id="0"/>
    </w:tbl>
    <w:p w:rsidR="00365635" w:rsidRDefault="00365635" w:rsidP="00365635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365635" w:rsidRDefault="00365635" w:rsidP="003656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65635" w:rsidRDefault="00365635" w:rsidP="003656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Ημερομηνία</w:t>
      </w:r>
    </w:p>
    <w:p w:rsidR="00365635" w:rsidRDefault="00365635" w:rsidP="003656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65635" w:rsidRPr="00DB593E" w:rsidRDefault="00365635" w:rsidP="003656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0"/>
          <w:szCs w:val="20"/>
        </w:rPr>
        <w:t xml:space="preserve">Σφραγίδα -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Υποραφή</w:t>
      </w:r>
      <w:proofErr w:type="spellEnd"/>
    </w:p>
    <w:p w:rsidR="0024116A" w:rsidRPr="00365635" w:rsidRDefault="0024116A" w:rsidP="00365635"/>
    <w:sectPr w:rsidR="0024116A" w:rsidRPr="0036563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5A" w:rsidRDefault="00307F5A" w:rsidP="00307F5A">
      <w:pPr>
        <w:spacing w:after="0" w:line="240" w:lineRule="auto"/>
      </w:pPr>
      <w:r>
        <w:separator/>
      </w:r>
    </w:p>
  </w:endnote>
  <w:end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useo Sans For Dell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A" w:rsidRDefault="00307F5A">
    <w:pPr>
      <w:pStyle w:val="a8"/>
    </w:pPr>
    <w:r>
      <w:rPr>
        <w:noProof/>
        <w:lang w:eastAsia="el-GR"/>
      </w:rPr>
      <w:drawing>
        <wp:inline distT="0" distB="0" distL="0" distR="0" wp14:anchorId="3F36C070">
          <wp:extent cx="4971415" cy="107632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5A" w:rsidRDefault="00307F5A" w:rsidP="00307F5A">
      <w:pPr>
        <w:spacing w:after="0" w:line="240" w:lineRule="auto"/>
      </w:pPr>
      <w:r>
        <w:separator/>
      </w:r>
    </w:p>
  </w:footnote>
  <w:foot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9B0"/>
    <w:multiLevelType w:val="multilevel"/>
    <w:tmpl w:val="348AF7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023197"/>
    <w:multiLevelType w:val="hybridMultilevel"/>
    <w:tmpl w:val="61F0CD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3CB9"/>
    <w:multiLevelType w:val="hybridMultilevel"/>
    <w:tmpl w:val="7A2C8D60"/>
    <w:lvl w:ilvl="0" w:tplc="CBC6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24D8"/>
    <w:multiLevelType w:val="hybridMultilevel"/>
    <w:tmpl w:val="9B86EC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33C"/>
    <w:multiLevelType w:val="multilevel"/>
    <w:tmpl w:val="A9F21A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00989"/>
    <w:multiLevelType w:val="hybridMultilevel"/>
    <w:tmpl w:val="68BA1F4C"/>
    <w:lvl w:ilvl="0" w:tplc="77F69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6DC5"/>
    <w:multiLevelType w:val="hybridMultilevel"/>
    <w:tmpl w:val="6E4820C4"/>
    <w:lvl w:ilvl="0" w:tplc="FB741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4C784AA2"/>
    <w:multiLevelType w:val="hybridMultilevel"/>
    <w:tmpl w:val="D9842490"/>
    <w:lvl w:ilvl="0" w:tplc="3F08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D291D"/>
    <w:multiLevelType w:val="hybridMultilevel"/>
    <w:tmpl w:val="CF404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E5A69"/>
    <w:multiLevelType w:val="hybridMultilevel"/>
    <w:tmpl w:val="27D81174"/>
    <w:lvl w:ilvl="0" w:tplc="E554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B5BB7"/>
    <w:multiLevelType w:val="multilevel"/>
    <w:tmpl w:val="68A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Helvetica" w:hint="default"/>
        <w:color w:val="1F497D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84DDB"/>
    <w:multiLevelType w:val="hybridMultilevel"/>
    <w:tmpl w:val="B85E6362"/>
    <w:lvl w:ilvl="0" w:tplc="32123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5B4ED6"/>
    <w:multiLevelType w:val="hybridMultilevel"/>
    <w:tmpl w:val="34EE13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13"/>
  </w:num>
  <w:num w:numId="29">
    <w:abstractNumId w:val="1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3"/>
    <w:rsid w:val="000D2FD0"/>
    <w:rsid w:val="0024116A"/>
    <w:rsid w:val="002A5019"/>
    <w:rsid w:val="00307F5A"/>
    <w:rsid w:val="00365635"/>
    <w:rsid w:val="00430752"/>
    <w:rsid w:val="00585A78"/>
    <w:rsid w:val="00622849"/>
    <w:rsid w:val="00872943"/>
    <w:rsid w:val="008B36BE"/>
    <w:rsid w:val="009641DC"/>
    <w:rsid w:val="00AB2EB0"/>
    <w:rsid w:val="00B05824"/>
    <w:rsid w:val="00B41888"/>
    <w:rsid w:val="00C6438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A009208-98DD-4F5C-9B3E-A5BCF9A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729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Char"/>
    <w:uiPriority w:val="9"/>
    <w:qFormat/>
    <w:rsid w:val="0058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585A78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eastAsia="Times New Roman"/>
      <w:b/>
      <w:bCs/>
      <w:sz w:val="26"/>
      <w:szCs w:val="26"/>
      <w:lang w:val="en-US" w:eastAsia="x-none"/>
    </w:rPr>
  </w:style>
  <w:style w:type="paragraph" w:styleId="3">
    <w:name w:val="heading 3"/>
    <w:basedOn w:val="a1"/>
    <w:next w:val="a1"/>
    <w:link w:val="3Char"/>
    <w:semiHidden/>
    <w:unhideWhenUsed/>
    <w:qFormat/>
    <w:rsid w:val="00585A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/>
    </w:rPr>
  </w:style>
  <w:style w:type="paragraph" w:styleId="4">
    <w:name w:val="heading 4"/>
    <w:basedOn w:val="a1"/>
    <w:next w:val="a1"/>
    <w:link w:val="4Char"/>
    <w:semiHidden/>
    <w:unhideWhenUsed/>
    <w:qFormat/>
    <w:rsid w:val="00585A78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n" w:eastAsia="el-GR"/>
    </w:rPr>
  </w:style>
  <w:style w:type="paragraph" w:styleId="5">
    <w:name w:val="heading 5"/>
    <w:basedOn w:val="a1"/>
    <w:next w:val="a1"/>
    <w:link w:val="5Char"/>
    <w:semiHidden/>
    <w:unhideWhenUsed/>
    <w:qFormat/>
    <w:rsid w:val="00585A78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n"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85A78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72943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7294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Title"/>
    <w:basedOn w:val="a1"/>
    <w:next w:val="a1"/>
    <w:link w:val="Char"/>
    <w:qFormat/>
    <w:rsid w:val="00872943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2"/>
    <w:link w:val="a6"/>
    <w:rsid w:val="00872943"/>
    <w:rPr>
      <w:rFonts w:ascii="Arial" w:eastAsia="Arial" w:hAnsi="Arial" w:cs="Arial"/>
      <w:sz w:val="52"/>
      <w:szCs w:val="52"/>
      <w:lang w:val="en" w:eastAsia="el-GR"/>
    </w:rPr>
  </w:style>
  <w:style w:type="paragraph" w:styleId="a7">
    <w:name w:val="header"/>
    <w:basedOn w:val="a1"/>
    <w:link w:val="Char0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307F5A"/>
    <w:rPr>
      <w:rFonts w:ascii="Calibri" w:eastAsia="Calibri" w:hAnsi="Calibri" w:cs="Times New Roman"/>
    </w:rPr>
  </w:style>
  <w:style w:type="paragraph" w:styleId="a8">
    <w:name w:val="footer"/>
    <w:basedOn w:val="a1"/>
    <w:link w:val="Char1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8"/>
    <w:uiPriority w:val="99"/>
    <w:rsid w:val="00307F5A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2"/>
    <w:link w:val="1"/>
    <w:uiPriority w:val="9"/>
    <w:rsid w:val="00585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sid w:val="00585A78"/>
    <w:rPr>
      <w:rFonts w:ascii="Calibri" w:eastAsia="Times New Roman" w:hAnsi="Calibri" w:cs="Times New Roman"/>
      <w:b/>
      <w:bCs/>
      <w:sz w:val="26"/>
      <w:szCs w:val="26"/>
      <w:lang w:val="en-US" w:eastAsia="x-none"/>
    </w:rPr>
  </w:style>
  <w:style w:type="character" w:customStyle="1" w:styleId="3Char">
    <w:name w:val="Επικεφαλίδα 3 Char"/>
    <w:basedOn w:val="a2"/>
    <w:link w:val="3"/>
    <w:semiHidden/>
    <w:rsid w:val="00585A78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4Char">
    <w:name w:val="Επικεφαλίδα 4 Char"/>
    <w:basedOn w:val="a2"/>
    <w:link w:val="4"/>
    <w:semiHidden/>
    <w:rsid w:val="00585A78"/>
    <w:rPr>
      <w:rFonts w:ascii="Arial" w:eastAsia="Arial" w:hAnsi="Arial" w:cs="Arial"/>
      <w:color w:val="666666"/>
      <w:sz w:val="24"/>
      <w:szCs w:val="24"/>
      <w:lang w:val="en" w:eastAsia="el-GR"/>
    </w:rPr>
  </w:style>
  <w:style w:type="character" w:customStyle="1" w:styleId="5Char">
    <w:name w:val="Επικεφαλίδα 5 Char"/>
    <w:basedOn w:val="a2"/>
    <w:link w:val="5"/>
    <w:semiHidden/>
    <w:rsid w:val="00585A78"/>
    <w:rPr>
      <w:rFonts w:ascii="Arial" w:eastAsia="Arial" w:hAnsi="Arial" w:cs="Arial"/>
      <w:color w:val="666666"/>
      <w:lang w:val="en" w:eastAsia="el-GR"/>
    </w:rPr>
  </w:style>
  <w:style w:type="character" w:customStyle="1" w:styleId="6Char">
    <w:name w:val="Επικεφαλίδα 6 Char"/>
    <w:basedOn w:val="a2"/>
    <w:link w:val="6"/>
    <w:uiPriority w:val="9"/>
    <w:semiHidden/>
    <w:rsid w:val="00585A7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-">
    <w:name w:val="Hyperlink"/>
    <w:uiPriority w:val="99"/>
    <w:semiHidden/>
    <w:unhideWhenUsed/>
    <w:rsid w:val="00585A78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2"/>
    <w:uiPriority w:val="99"/>
    <w:semiHidden/>
    <w:unhideWhenUsed/>
    <w:rsid w:val="00585A78"/>
    <w:rPr>
      <w:color w:val="954F72" w:themeColor="followedHyperlink"/>
      <w:u w:val="single"/>
    </w:rPr>
  </w:style>
  <w:style w:type="paragraph" w:styleId="-HTML">
    <w:name w:val="HTML Preformatted"/>
    <w:basedOn w:val="a1"/>
    <w:link w:val="-HTMLChar"/>
    <w:uiPriority w:val="99"/>
    <w:semiHidden/>
    <w:unhideWhenUsed/>
    <w:rsid w:val="0058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85A78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styleId="10">
    <w:name w:val="toc 1"/>
    <w:basedOn w:val="a1"/>
    <w:next w:val="a1"/>
    <w:autoRedefine/>
    <w:semiHidden/>
    <w:unhideWhenUsed/>
    <w:rsid w:val="00585A78"/>
    <w:pPr>
      <w:spacing w:after="100"/>
    </w:pPr>
    <w:rPr>
      <w:rFonts w:cs="Calibri"/>
    </w:rPr>
  </w:style>
  <w:style w:type="paragraph" w:styleId="20">
    <w:name w:val="toc 2"/>
    <w:basedOn w:val="a1"/>
    <w:next w:val="a1"/>
    <w:autoRedefine/>
    <w:uiPriority w:val="39"/>
    <w:semiHidden/>
    <w:unhideWhenUsed/>
    <w:rsid w:val="00585A78"/>
    <w:pPr>
      <w:tabs>
        <w:tab w:val="right" w:leader="dot" w:pos="8296"/>
      </w:tabs>
      <w:spacing w:after="100" w:line="240" w:lineRule="auto"/>
      <w:ind w:left="221"/>
    </w:pPr>
    <w:rPr>
      <w:rFonts w:cs="Calibri"/>
    </w:rPr>
  </w:style>
  <w:style w:type="paragraph" w:styleId="30">
    <w:name w:val="toc 3"/>
    <w:basedOn w:val="a1"/>
    <w:next w:val="a1"/>
    <w:autoRedefine/>
    <w:uiPriority w:val="39"/>
    <w:semiHidden/>
    <w:unhideWhenUsed/>
    <w:rsid w:val="00585A78"/>
    <w:pPr>
      <w:spacing w:after="100"/>
      <w:ind w:left="440"/>
    </w:pPr>
    <w:rPr>
      <w:rFonts w:cs="Calibri"/>
    </w:rPr>
  </w:style>
  <w:style w:type="paragraph" w:styleId="a9">
    <w:name w:val="footnote text"/>
    <w:basedOn w:val="a1"/>
    <w:link w:val="Char2"/>
    <w:uiPriority w:val="99"/>
    <w:semiHidden/>
    <w:unhideWhenUsed/>
    <w:rsid w:val="00585A78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2"/>
    <w:link w:val="a9"/>
    <w:uiPriority w:val="99"/>
    <w:semiHidden/>
    <w:rsid w:val="00585A78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annotation text"/>
    <w:basedOn w:val="a1"/>
    <w:link w:val="Char3"/>
    <w:uiPriority w:val="99"/>
    <w:semiHidden/>
    <w:unhideWhenUsed/>
    <w:rsid w:val="00585A78"/>
    <w:pPr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3">
    <w:name w:val="Κείμενο σχολίου Char"/>
    <w:basedOn w:val="a2"/>
    <w:link w:val="aa"/>
    <w:uiPriority w:val="99"/>
    <w:semiHidden/>
    <w:rsid w:val="00585A78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b">
    <w:name w:val="endnote text"/>
    <w:basedOn w:val="a1"/>
    <w:link w:val="Char4"/>
    <w:uiPriority w:val="99"/>
    <w:unhideWhenUsed/>
    <w:rsid w:val="00585A78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4">
    <w:name w:val="Κείμενο σημείωσης τέλους Char"/>
    <w:basedOn w:val="a2"/>
    <w:link w:val="ab"/>
    <w:uiPriority w:val="99"/>
    <w:semiHidden/>
    <w:rsid w:val="00585A78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styleId="ac">
    <w:name w:val="Body Text"/>
    <w:basedOn w:val="a1"/>
    <w:link w:val="Char5"/>
    <w:uiPriority w:val="99"/>
    <w:semiHidden/>
    <w:unhideWhenUsed/>
    <w:rsid w:val="00585A78"/>
    <w:pPr>
      <w:spacing w:after="120"/>
    </w:pPr>
    <w:rPr>
      <w:lang w:val="x-none"/>
    </w:rPr>
  </w:style>
  <w:style w:type="character" w:customStyle="1" w:styleId="Char5">
    <w:name w:val="Σώμα κειμένου Char"/>
    <w:basedOn w:val="a2"/>
    <w:link w:val="ac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d">
    <w:name w:val="Body Text Indent"/>
    <w:basedOn w:val="a1"/>
    <w:link w:val="Char6"/>
    <w:uiPriority w:val="99"/>
    <w:semiHidden/>
    <w:unhideWhenUsed/>
    <w:rsid w:val="00585A78"/>
    <w:pPr>
      <w:spacing w:after="120"/>
      <w:ind w:left="283"/>
    </w:pPr>
    <w:rPr>
      <w:lang w:val="x-none"/>
    </w:rPr>
  </w:style>
  <w:style w:type="character" w:customStyle="1" w:styleId="Char6">
    <w:name w:val="Σώμα κείμενου με εσοχή Char"/>
    <w:basedOn w:val="a2"/>
    <w:link w:val="ad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e">
    <w:name w:val="Subtitle"/>
    <w:basedOn w:val="a1"/>
    <w:next w:val="a1"/>
    <w:link w:val="Char7"/>
    <w:qFormat/>
    <w:rsid w:val="00585A78"/>
    <w:rPr>
      <w:rFonts w:ascii="Cambria" w:hAnsi="Cambria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Char7">
    <w:name w:val="Υπότιτλος Char"/>
    <w:basedOn w:val="a2"/>
    <w:link w:val="ae"/>
    <w:rsid w:val="00585A78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21">
    <w:name w:val="Body Text 2"/>
    <w:basedOn w:val="a1"/>
    <w:link w:val="2Char0"/>
    <w:semiHidden/>
    <w:unhideWhenUsed/>
    <w:rsid w:val="00585A78"/>
    <w:pPr>
      <w:spacing w:after="120" w:line="480" w:lineRule="auto"/>
    </w:pPr>
  </w:style>
  <w:style w:type="character" w:customStyle="1" w:styleId="2Char0">
    <w:name w:val="Σώμα κείμενου 2 Char"/>
    <w:basedOn w:val="a2"/>
    <w:link w:val="21"/>
    <w:semiHidden/>
    <w:rsid w:val="00585A78"/>
    <w:rPr>
      <w:rFonts w:ascii="Calibri" w:eastAsia="Calibri" w:hAnsi="Calibri" w:cs="Times New Roman"/>
    </w:rPr>
  </w:style>
  <w:style w:type="paragraph" w:styleId="22">
    <w:name w:val="Body Text Indent 2"/>
    <w:basedOn w:val="a1"/>
    <w:link w:val="2Char1"/>
    <w:semiHidden/>
    <w:unhideWhenUsed/>
    <w:rsid w:val="00585A78"/>
    <w:pPr>
      <w:numPr>
        <w:ilvl w:val="12"/>
      </w:numPr>
      <w:spacing w:after="0" w:line="240" w:lineRule="auto"/>
      <w:ind w:left="708" w:hanging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Char1">
    <w:name w:val="Σώμα κείμενου με εσοχή 2 Char"/>
    <w:basedOn w:val="a2"/>
    <w:link w:val="22"/>
    <w:semiHidden/>
    <w:rsid w:val="00585A7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f">
    <w:name w:val="annotation subject"/>
    <w:basedOn w:val="aa"/>
    <w:next w:val="aa"/>
    <w:link w:val="Char8"/>
    <w:semiHidden/>
    <w:unhideWhenUsed/>
    <w:rsid w:val="00585A78"/>
    <w:rPr>
      <w:b/>
      <w:bCs/>
    </w:rPr>
  </w:style>
  <w:style w:type="character" w:customStyle="1" w:styleId="Char8">
    <w:name w:val="Θέμα σχολίου Char"/>
    <w:basedOn w:val="Char3"/>
    <w:link w:val="af"/>
    <w:semiHidden/>
    <w:rsid w:val="00585A78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0">
    <w:name w:val="Balloon Text"/>
    <w:basedOn w:val="a1"/>
    <w:link w:val="Char9"/>
    <w:uiPriority w:val="99"/>
    <w:semiHidden/>
    <w:unhideWhenUsed/>
    <w:rsid w:val="00585A78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Char9">
    <w:name w:val="Κείμενο πλαισίου Char"/>
    <w:basedOn w:val="a2"/>
    <w:link w:val="af0"/>
    <w:uiPriority w:val="99"/>
    <w:semiHidden/>
    <w:rsid w:val="00585A78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Chara">
    <w:name w:val="Χωρίς διάστιχο Char"/>
    <w:link w:val="af1"/>
    <w:locked/>
    <w:rsid w:val="00585A78"/>
    <w:rPr>
      <w:rFonts w:ascii="Calibri" w:hAnsi="Calibri" w:cs="Calibri"/>
    </w:rPr>
  </w:style>
  <w:style w:type="paragraph" w:styleId="af1">
    <w:name w:val="No Spacing"/>
    <w:link w:val="Chara"/>
    <w:qFormat/>
    <w:rsid w:val="00585A78"/>
    <w:pPr>
      <w:spacing w:after="0" w:line="240" w:lineRule="auto"/>
    </w:pPr>
    <w:rPr>
      <w:rFonts w:ascii="Calibri" w:hAnsi="Calibri" w:cs="Calibri"/>
    </w:rPr>
  </w:style>
  <w:style w:type="paragraph" w:styleId="af2">
    <w:name w:val="Revision"/>
    <w:uiPriority w:val="99"/>
    <w:semiHidden/>
    <w:rsid w:val="00585A7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1"/>
    <w:uiPriority w:val="39"/>
    <w:semiHidden/>
    <w:unhideWhenUsed/>
    <w:qFormat/>
    <w:rsid w:val="00585A78"/>
    <w:pPr>
      <w:spacing w:before="480"/>
      <w:outlineLvl w:val="9"/>
    </w:pPr>
    <w:rPr>
      <w:rFonts w:ascii="Cambria" w:eastAsia="Calibri" w:hAnsi="Cambria" w:cs="Times New Roman"/>
      <w:b/>
      <w:bCs/>
      <w:color w:val="365F91"/>
      <w:sz w:val="28"/>
      <w:szCs w:val="28"/>
      <w:lang w:eastAsia="x-none"/>
    </w:rPr>
  </w:style>
  <w:style w:type="paragraph" w:customStyle="1" w:styleId="ChapterTitle">
    <w:name w:val="ChapterTitle"/>
    <w:basedOn w:val="a1"/>
    <w:next w:val="a1"/>
    <w:rsid w:val="00585A78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1"/>
    <w:next w:val="1"/>
    <w:rsid w:val="00585A78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paragraph" w:customStyle="1" w:styleId="a">
    <w:name w:val="Λίστα (Νούμερα)"/>
    <w:basedOn w:val="a1"/>
    <w:rsid w:val="00585A78"/>
    <w:pPr>
      <w:widowControl w:val="0"/>
      <w:numPr>
        <w:numId w:val="8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0">
    <w:name w:val="Εδάφιο"/>
    <w:basedOn w:val="a1"/>
    <w:rsid w:val="00585A78"/>
    <w:pPr>
      <w:widowControl w:val="0"/>
      <w:numPr>
        <w:numId w:val="10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/>
      <w:b/>
      <w:sz w:val="20"/>
      <w:szCs w:val="20"/>
    </w:rPr>
  </w:style>
  <w:style w:type="paragraph" w:customStyle="1" w:styleId="Logo">
    <w:name w:val="Logo"/>
    <w:basedOn w:val="a1"/>
    <w:rsid w:val="00585A78"/>
    <w:pPr>
      <w:spacing w:after="0" w:line="240" w:lineRule="auto"/>
    </w:pPr>
    <w:rPr>
      <w:rFonts w:ascii="HellasArial" w:eastAsia="Times New Roman" w:hAnsi="HellasArial"/>
      <w:sz w:val="24"/>
      <w:szCs w:val="20"/>
      <w:lang w:val="en-GB"/>
    </w:rPr>
  </w:style>
  <w:style w:type="paragraph" w:customStyle="1" w:styleId="TableParagraph">
    <w:name w:val="Table Paragraph"/>
    <w:basedOn w:val="a1"/>
    <w:uiPriority w:val="1"/>
    <w:qFormat/>
    <w:rsid w:val="00585A78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paragraph" w:customStyle="1" w:styleId="p2">
    <w:name w:val="p2"/>
    <w:basedOn w:val="a1"/>
    <w:rsid w:val="00585A78"/>
    <w:pPr>
      <w:spacing w:after="0" w:line="240" w:lineRule="auto"/>
    </w:pPr>
    <w:rPr>
      <w:rFonts w:ascii="Tahoma" w:eastAsia="Arial" w:hAnsi="Tahoma" w:cs="Tahoma"/>
      <w:sz w:val="17"/>
      <w:szCs w:val="17"/>
      <w:lang w:val="en-US"/>
    </w:rPr>
  </w:style>
  <w:style w:type="paragraph" w:customStyle="1" w:styleId="p3">
    <w:name w:val="p3"/>
    <w:basedOn w:val="a1"/>
    <w:rsid w:val="00585A78"/>
    <w:pPr>
      <w:spacing w:after="0" w:line="240" w:lineRule="auto"/>
    </w:pPr>
    <w:rPr>
      <w:rFonts w:ascii="Tahoma" w:eastAsia="Arial" w:hAnsi="Tahoma" w:cs="Tahoma"/>
      <w:sz w:val="15"/>
      <w:szCs w:val="15"/>
      <w:lang w:val="en-US"/>
    </w:rPr>
  </w:style>
  <w:style w:type="paragraph" w:customStyle="1" w:styleId="Pa2">
    <w:name w:val="Pa2"/>
    <w:basedOn w:val="a1"/>
    <w:next w:val="a1"/>
    <w:uiPriority w:val="99"/>
    <w:rsid w:val="00585A78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paragraph" w:customStyle="1" w:styleId="gmail-msolistparagraph">
    <w:name w:val="gmail-msolistparagraph"/>
    <w:basedOn w:val="a1"/>
    <w:uiPriority w:val="99"/>
    <w:semiHidden/>
    <w:rsid w:val="0058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1">
    <w:name w:val="Βασικό1"/>
    <w:rsid w:val="005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peccentered">
    <w:name w:val="Spec_centered"/>
    <w:basedOn w:val="a1"/>
    <w:rsid w:val="00585A78"/>
    <w:pPr>
      <w:suppressAutoHyphens/>
      <w:overflowPunct w:val="0"/>
      <w:autoSpaceDE w:val="0"/>
      <w:spacing w:after="120" w:line="240" w:lineRule="auto"/>
      <w:jc w:val="center"/>
    </w:pPr>
    <w:rPr>
      <w:rFonts w:ascii="Times New Roman" w:eastAsia="Arial Unicode MS" w:hAnsi="Times New Roman"/>
      <w:szCs w:val="20"/>
      <w:lang w:eastAsia="ar-SA"/>
    </w:rPr>
  </w:style>
  <w:style w:type="character" w:styleId="af4">
    <w:name w:val="footnote reference"/>
    <w:uiPriority w:val="99"/>
    <w:semiHidden/>
    <w:unhideWhenUsed/>
    <w:rsid w:val="00585A78"/>
    <w:rPr>
      <w:vertAlign w:val="superscript"/>
    </w:rPr>
  </w:style>
  <w:style w:type="character" w:styleId="af5">
    <w:name w:val="annotation reference"/>
    <w:uiPriority w:val="99"/>
    <w:semiHidden/>
    <w:unhideWhenUsed/>
    <w:rsid w:val="00585A78"/>
    <w:rPr>
      <w:rFonts w:ascii="Times New Roman" w:hAnsi="Times New Roman" w:cs="Times New Roman" w:hint="default"/>
      <w:sz w:val="16"/>
      <w:szCs w:val="16"/>
    </w:rPr>
  </w:style>
  <w:style w:type="character" w:styleId="af6">
    <w:name w:val="endnote reference"/>
    <w:semiHidden/>
    <w:unhideWhenUsed/>
    <w:rsid w:val="00585A78"/>
    <w:rPr>
      <w:vertAlign w:val="superscript"/>
    </w:rPr>
  </w:style>
  <w:style w:type="character" w:customStyle="1" w:styleId="af7">
    <w:name w:val="Χαρακτήρες υποσημείωσης"/>
    <w:rsid w:val="00585A78"/>
  </w:style>
  <w:style w:type="character" w:customStyle="1" w:styleId="NormalBoldChar">
    <w:name w:val="NormalBold Char"/>
    <w:rsid w:val="00585A7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2">
    <w:name w:val="Παραπομπή σημείωσης τέλους1"/>
    <w:rsid w:val="00585A78"/>
    <w:rPr>
      <w:vertAlign w:val="superscript"/>
    </w:rPr>
  </w:style>
  <w:style w:type="character" w:customStyle="1" w:styleId="af8">
    <w:name w:val="Σύμβολο υποσημείωσης"/>
    <w:rsid w:val="00585A78"/>
    <w:rPr>
      <w:vertAlign w:val="superscript"/>
    </w:rPr>
  </w:style>
  <w:style w:type="character" w:customStyle="1" w:styleId="DeltaViewInsertion">
    <w:name w:val="DeltaView Insertion"/>
    <w:rsid w:val="00585A78"/>
    <w:rPr>
      <w:b/>
      <w:bCs w:val="0"/>
      <w:i/>
      <w:iCs w:val="0"/>
      <w:spacing w:val="0"/>
      <w:lang w:val="el-GR"/>
    </w:rPr>
  </w:style>
  <w:style w:type="character" w:customStyle="1" w:styleId="af9">
    <w:name w:val="Χαρακτήρες σημείωσης τέλους"/>
    <w:rsid w:val="00585A78"/>
    <w:rPr>
      <w:vertAlign w:val="superscript"/>
    </w:rPr>
  </w:style>
  <w:style w:type="character" w:customStyle="1" w:styleId="FootnoteReference2">
    <w:name w:val="Footnote Reference2"/>
    <w:rsid w:val="00585A78"/>
    <w:rPr>
      <w:vertAlign w:val="superscript"/>
    </w:rPr>
  </w:style>
  <w:style w:type="character" w:customStyle="1" w:styleId="31">
    <w:name w:val="Παραπομπή υποσημείωσης3"/>
    <w:rsid w:val="00585A78"/>
    <w:rPr>
      <w:vertAlign w:val="superscript"/>
    </w:rPr>
  </w:style>
  <w:style w:type="character" w:customStyle="1" w:styleId="apple-converted-space">
    <w:name w:val="apple-converted-space"/>
    <w:rsid w:val="00585A78"/>
  </w:style>
  <w:style w:type="table" w:styleId="afa">
    <w:name w:val="Table Grid"/>
    <w:basedOn w:val="a3"/>
    <w:uiPriority w:val="3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3"/>
    <w:uiPriority w:val="40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3">
    <w:name w:val="Grid Table 1 Light"/>
    <w:basedOn w:val="a3"/>
    <w:uiPriority w:val="46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Πλέγμα πίνακα1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a1"/>
    <w:rsid w:val="00B41888"/>
    <w:pPr>
      <w:spacing w:after="0" w:line="240" w:lineRule="auto"/>
    </w:pPr>
    <w:rPr>
      <w:rFonts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2675</Words>
  <Characters>14446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13</cp:revision>
  <dcterms:created xsi:type="dcterms:W3CDTF">2019-04-19T06:39:00Z</dcterms:created>
  <dcterms:modified xsi:type="dcterms:W3CDTF">2021-03-31T06:29:00Z</dcterms:modified>
</cp:coreProperties>
</file>